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1.004148.000.00.00.H56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4397/QĐ-UBND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ký/đăng ký xác nhận lại kế hoạch bảo vệ môi trường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Môi trường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Nộp hồ sơ: Chủ dự án nộp hồ sơ đăng ký kế hoạch bảo vệ môi trường tới cơ quan có thẩm quyền</w:t>
      </w:r>
    </w:p>
    <w:p>
      <w:pPr>
        <w:spacing w:after="0" w:before="0" w:lineRule="auto" w:line="276"/>
        <w:jc w:val="both"/>
      </w:pPr>
      <w:r>
        <w:rPr>
          <w:rFonts w:ascii="Times New Roman" w:hAnsi="Times New Roman" w:cs="Times New Roman" w:eastAsia="Times New Roman"/>
          <w:b w:val="false"/>
          <w:sz w:val="26"/>
        </w:rPr>
        <w:t>Bước 2. Kiểm tra hồ sơ: Cơ quan có thẩm quyền xem xét, kiểm tra hồ sơ; trường hợp hồ sơ không đầy đủ, hợp lệ, phải có văn bản thông báo cho chủ dự án.</w:t>
      </w:r>
    </w:p>
    <w:p>
      <w:pPr>
        <w:spacing w:after="0" w:before="0" w:lineRule="auto" w:line="276"/>
        <w:jc w:val="both"/>
      </w:pPr>
      <w:r>
        <w:rPr>
          <w:rFonts w:ascii="Times New Roman" w:hAnsi="Times New Roman" w:cs="Times New Roman" w:eastAsia="Times New Roman"/>
          <w:b w:val="false"/>
          <w:sz w:val="26"/>
        </w:rPr>
        <w:t>Bước 3. Xem xét hồ sơ: 
- Cơ quan có thẩm quyền xem xét, xác nhận đăng ký/đăng ký lại kế hoạch bảo vệ môi trường của dự án, cơ sở trong vòng 10 ngày làm việc. 
- Trường hợp chưa xác nhận phải có thông báo bằng một văn bản và nêu lý do (trong đó nêu rõ tất cả các nội dung cần phải bổ sung, hoàn thiện một lần).</w:t>
      </w:r>
    </w:p>
    <w:p>
      <w:pPr>
        <w:spacing w:after="0" w:before="0" w:lineRule="auto" w:line="276"/>
        <w:jc w:val="both"/>
      </w:pPr>
      <w:r>
        <w:rPr>
          <w:rFonts w:ascii="Times New Roman" w:hAnsi="Times New Roman" w:cs="Times New Roman" w:eastAsia="Times New Roman"/>
          <w:b w:val="false"/>
          <w:sz w:val="26"/>
        </w:rPr>
        <w:t>Bước 4. Trả kết quả
- Sở Tài nguyên và Môi trường/ Ban quản lý KKTNS và các KCN  thông báo kết quả tới Chủ dự án, Chủ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xem xét, xác nhận đăng ký kế hoạch bảo vệ môi trường: Trong thời hạn 10 (mười) ngày làm việc kể từ ngày nhận được đầy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xem xét, xác nhận đăng ký kế hoạch bảo vệ môi trường: Trong thời hạn 10 (mười) ngày làm việc kể từ ngày nhận được đầy đủ hồ sơ hợp lệ.
- Tại Sở Tài nguyên và Môi trường: Địa chỉ trực tuyến: https://dichvucong .thanhhoa.gov.vn (mức độ 4)
- Tại Ban Quản lý Khu kinh tế Nghi Sơn và các khu công nghiệp: https://dichvucong .thanhhoa.gov.vn (mức độ 3)</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Thời hạn xem xét, xác nhận đăng ký kế hoạch bảo vệ môi trường: Trong thời hạn 10 (mười) ngày làm việc kể từ ngày nhận được đầy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01 văn bản đề nghị đăng ký kế hoạch bảo vệ môi trường của dự án, cơ sở theo Mẫu 4.1 trong Phụ lục kèm theo dưới đây.</w:t>
            </w:r>
          </w:p>
        </w:tc>
        <w:tc>
          <w:p/>
          <w:p>
            <w:pPr>
              <w:spacing w:after="0" w:before="0" w:lineRule="auto" w:line="276"/>
              <w:jc w:val="left"/>
            </w:pPr>
            <w:r>
              <w:rPr>
                <w:rFonts w:ascii="Times New Roman" w:hAnsi="Times New Roman" w:cs="Times New Roman" w:eastAsia="Times New Roman"/>
                <w:b w:val="false"/>
                <w:sz w:val="26"/>
              </w:rPr>
              <w:t>Phụ lục 4.1.docx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03 bản kế hoạch bảo vệ môi trường (kèm theo bản điện tử) của dự án, cơ sở theo Mẫu 4.2 trong Phụ lục kèm theo dưới đây.</w:t>
            </w:r>
          </w:p>
        </w:tc>
        <w:tc>
          <w:p/>
          <w:p>
            <w:pPr>
              <w:spacing w:after="0" w:before="0" w:lineRule="auto" w:line="276"/>
              <w:jc w:val="left"/>
            </w:pPr>
            <w:r>
              <w:rPr>
                <w:rFonts w:ascii="Times New Roman" w:hAnsi="Times New Roman" w:cs="Times New Roman" w:eastAsia="Times New Roman"/>
                <w:b w:val="false"/>
                <w:sz w:val="26"/>
              </w:rPr>
              <w:t>Phụ lục 4.2.docx</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01 báo cáo nghiên cứu khả thi đầu tư xây dựng hoặc báo cáo kinh tế - kỹ thuật đầu tư xây dựng dự án, cơ sở (kèm theo bản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nguyên và Môi trường, Ban QL KKT Nghi sơn và các Khu công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Tài nguyên và Môi trường, Ban QL KKT Nghi sơn và các Khu công nghiệp</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Bộ phận tiếp nhận và trả kết quả của Sở Tài nguyên và Môi trường tại Trung tâm Phục vụ hành chính công tỉnh, Số 28 Đại lộ Lê Lợi, phường Điện Biên, thành phố Thanh Hóa, tỉnh Thanh Hoá;  - Địa chỉ trực tuyến: https://dichvucong .thanhhoa.gov.vn (mức độ 4); - Bộ phận tiếp nhận và trả kết quả của Ban Quản lý Khu kinh tế Nghi Sơn và các khu công nghiệp tỉnh Thanh Hóa tại Km 372 Quốc lộ 1A, xã Trúc Lâm,  thị xã Nghi Sơn,  tỉnh Thanh Hóa. (đối với dự án đầu tư thực hiện tại Khu kinh tế Nghi Sơn trừ dự án thuộc thẩm quyền xác nhận của UBND thị xã Nghi Sơn; khu công nghiệp Lễ Môn; khu công nghiệp Đình Hương - Tây Bắc Ga; khu công nghiệp Hoàng Long; khu công nghiệp Bỉm Sơn);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kết quả về đề nghị chấp thuận về môi trường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18/2015/NĐ-CP</w:t>
            </w:r>
          </w:p>
        </w:tc>
        <w:tc>
          <w:p/>
          <w:p>
            <w:pPr>
              <w:spacing w:after="0" w:before="0" w:lineRule="auto" w:line="276"/>
              <w:jc w:val="left"/>
            </w:pPr>
            <w:r>
              <w:rPr>
                <w:rFonts w:ascii="Times New Roman" w:hAnsi="Times New Roman" w:cs="Times New Roman" w:eastAsia="Times New Roman"/>
                <w:b w:val="false"/>
                <w:sz w:val="26"/>
              </w:rPr>
              <w:t>Nghị định 18/2015/NĐ-CP</w:t>
            </w:r>
          </w:p>
        </w:tc>
        <w:tc>
          <w:p/>
          <w:p>
            <w:pPr>
              <w:spacing w:after="0" w:before="0" w:lineRule="auto" w:line="276"/>
              <w:jc w:val="left"/>
            </w:pPr>
            <w:r>
              <w:rPr>
                <w:rFonts w:ascii="Times New Roman" w:hAnsi="Times New Roman" w:cs="Times New Roman" w:eastAsia="Times New Roman"/>
                <w:b w:val="false"/>
                <w:sz w:val="26"/>
              </w:rPr>
              <w:t>14-02-2015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55/2014/QH13</w:t>
            </w:r>
          </w:p>
        </w:tc>
        <w:tc>
          <w:p/>
          <w:p>
            <w:pPr>
              <w:spacing w:after="0" w:before="0" w:lineRule="auto" w:line="276"/>
              <w:jc w:val="left"/>
            </w:pPr>
            <w:r>
              <w:rPr>
                <w:rFonts w:ascii="Times New Roman" w:hAnsi="Times New Roman" w:cs="Times New Roman" w:eastAsia="Times New Roman"/>
                <w:b w:val="false"/>
                <w:sz w:val="26"/>
              </w:rPr>
              <w:t>Luật 55/2014/QH13</w:t>
            </w:r>
          </w:p>
        </w:tc>
        <w:tc>
          <w:p/>
          <w:p>
            <w:pPr>
              <w:spacing w:after="0" w:before="0" w:lineRule="auto" w:line="276"/>
              <w:jc w:val="left"/>
            </w:pPr>
            <w:r>
              <w:rPr>
                <w:rFonts w:ascii="Times New Roman" w:hAnsi="Times New Roman" w:cs="Times New Roman" w:eastAsia="Times New Roman"/>
                <w:b w:val="false"/>
                <w:sz w:val="26"/>
              </w:rPr>
              <w:t>23-06-2014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40/2019/NĐ-CP</w:t>
            </w:r>
          </w:p>
        </w:tc>
        <w:tc>
          <w:p/>
          <w:p>
            <w:pPr>
              <w:spacing w:after="0" w:before="0" w:lineRule="auto" w:line="276"/>
              <w:jc w:val="left"/>
            </w:pPr>
            <w:r>
              <w:rPr>
                <w:rFonts w:ascii="Times New Roman" w:hAnsi="Times New Roman" w:cs="Times New Roman" w:eastAsia="Times New Roman"/>
                <w:b w:val="false"/>
                <w:sz w:val="26"/>
              </w:rPr>
              <w:t>Nghị định số 40/2019/NĐ-CP</w:t>
            </w:r>
          </w:p>
        </w:tc>
        <w:tc>
          <w:p/>
          <w:p>
            <w:pPr>
              <w:spacing w:after="0" w:before="0" w:lineRule="auto" w:line="276"/>
              <w:jc w:val="left"/>
            </w:pPr>
            <w:r>
              <w:rPr>
                <w:rFonts w:ascii="Times New Roman" w:hAnsi="Times New Roman" w:cs="Times New Roman" w:eastAsia="Times New Roman"/>
                <w:b w:val="false"/>
                <w:sz w:val="26"/>
              </w:rPr>
              <w:t>13-05-2019</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2026-05-28T06:44:14Z</dcterms:created>
  <dc:creator>Apache POI</dc:creator>
</cp:coreProperties>
</file>