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chỉnh sửa văn bằng, chứng chỉ nộp 01 (một) bộ hồ sơ theo quy định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Việc chỉnh sửa nội dung văn bằng, chứng chỉ được thực hiện bằng quyết định chỉnh sửa; không chỉnh sửa trực tiếp trên văn bằng, chứng chỉ;</w:t>
      </w:r>
    </w:p>
    <w:p>
      <w:pPr>
        <w:spacing w:after="0" w:before="0" w:lineRule="auto" w:line="276"/>
        <w:jc w:val="both"/>
      </w:pPr>
      <w:r>
        <w:rPr>
          <w:rFonts w:ascii="Times New Roman" w:hAnsi="Times New Roman" w:cs="Times New Roman" w:eastAsia="Times New Roman"/>
          <w:b w:val="false"/>
          <w:sz w:val="26"/>
        </w:rPr>
        <w:t>Căn cứ quyết định chỉnh sửa, cơ quan có thẩm quyền chỉnh sửa nội dung văn bằng, chứng chỉ tiến hành chỉnh sửa các nội dung tương ứng ghi trong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minh nhân dân hoặc căn cước công dân hoặc hộ chiếu hoặc giấy tờ tùy thân hợp pháp khác có ảnh của người được cấp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Thanh Hóa,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phòng giáo dục và đào tạo cấp huyện,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Giáo dục và Đào tạo tại Trung tâm Phục vụ hành chính công tỉnh Thanh Hóa, số 28, Đại lộ Lê Lợi, phường Điện Biên, thành phố Thanh Hóa, tỉnh Thanh Hóa; Bộ phận tiếp nhận và trả kết quả thuộc Văn phòng HĐND-UBND cấp huyện;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2026-05-26T13:30:47Z</dcterms:created>
  <dc:creator>Apache POI</dc:creator>
</cp:coreProperties>
</file>