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phương tiện là xe ô tô</w:t>
      </w:r>
    </w:p>
    <w:p>
      <w:pPr>
        <w:spacing w:after="0" w:before="0" w:lineRule="auto" w:line="276"/>
        <w:jc w:val="both"/>
      </w:pPr>
      <w:r>
        <w:rPr>
          <w:rFonts w:ascii="Times New Roman" w:hAnsi="Times New Roman" w:cs="Times New Roman" w:eastAsia="Times New Roman"/>
          <w:b w:val="false"/>
          <w:sz w:val="26"/>
        </w:rPr>
        <w:t>Đơn vị kinh doanh vận tải khách du lịch gửi trực tiếp hoặc qua bưu điện 01 bộ hồ sơ đến Sở Giao thông vận tải nơi đơn vị kinh doanh đặt trụ sở chính hoặc chi nhánh
Trong quá trình thẩm định, Sở Giao thông vận tải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Đối với phương tiện thủy nội địa</w:t>
      </w:r>
    </w:p>
    <w:p>
      <w:pPr>
        <w:spacing w:after="0" w:before="0" w:lineRule="auto" w:line="276"/>
        <w:jc w:val="both"/>
      </w:pPr>
      <w:r>
        <w:rPr>
          <w:rFonts w:ascii="Times New Roman" w:hAnsi="Times New Roman" w:cs="Times New Roman" w:eastAsia="Times New Roman"/>
          <w:b w:val="false"/>
          <w:sz w:val="26"/>
        </w:rPr>
        <w:t>Đơn vị kinh doanh vận tải khách du lịch gửi trực tiếp hoặc qua bưu điện 01 bộ hồ sơ đến Sở Giao thông vận tải nơi đơn vị kinh doanh đặt trụ sở chính hoặc chi nhánh
Trong quá trình thẩm định, Sở Giao thông vận tải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Giao thông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đối với phương tiện là xe ô tô và 07 ngày làm việc đối với phương tiện thủy nội địa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đối với phương tiện là xe ô tô và 07 ngày làm việc đối với phương tiện thủy nội địa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biển hiệu phương tiện vận tải khách du lịch (Mẫu số 02 Phụ lục ban hành kèm theo Nghị định 168/2017/NĐ-CP ngày 31 tháng 12 năm 2017) ;</w:t>
            </w:r>
          </w:p>
        </w:tc>
        <w:tc>
          <w:p/>
          <w:p>
            <w:pPr>
              <w:spacing w:after="0" w:before="0" w:lineRule="auto" w:line="276"/>
              <w:jc w:val="left"/>
            </w:pPr>
            <w:r>
              <w:rPr>
                <w:rFonts w:ascii="Times New Roman" w:hAnsi="Times New Roman" w:cs="Times New Roman" w:eastAsia="Times New Roman"/>
                <w:b w:val="false"/>
                <w:sz w:val="26"/>
              </w:rPr>
              <w:t>MS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Bảng kê thông tin về trang thiết bị của từng phương tiện, chất lượng dịch vụ, nhân viên phục vụ trên phương tiện vận tải khách du lịch đáp ứng điều kiện theo quy định  (Bộ trưởng Bộ Giao thông vận tải quy định điều kiện của người điều khiển phương tiện, nhân viên phục vụ, trang thiết bị, chất lượng dịch vụ trên phương tiện vận tải khách du lịch sau khi có ý kiến của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đăng ký phương tiện hoặc giấy hẹn nhận giấy đăng ký phương tiện của cơ quan có thẩm quyền, bản sao giấy chứng nhận kiểm định an toàn kỹ thuật và bảo vệ môi trường. Trường hợp phương tiện không thuộc quyền sở hữu của đơn vị kinh doanh vận tải thì xuất trình thêm bản sao hợp đồng thuê phương tiện với tổ chức, cá nhân sở hữu phương tiện vận tải hoặc bản sao hợp đồng dịch vụ giữa thành viên và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số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Biển hiệu phương tiện vận tải khách du lịch có giá trị 07 năm và không quá niên hạn sử dụng còn lại của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2026-05-22T10:07:04Z</dcterms:created>
  <dc:creator>Apache POI</dc:creator>
</cp:coreProperties>
</file>