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1.008032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cơ sở sản xuất áp dụng quy trình Vietgap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Cơ sở sản xuất có nhu cầu hỗ trợ phải đăng ký áp dụng quy trình VietGAP tại phòng Nông nghiệp và Phát triển nông thôn huyện hoặc phòng Kinh tế thành phố theo mẫu Giấy đăng ký. Trong vòng 07 (bảy) ngày làm việc, phòng Nông nghiệp và Phát triển nông thôn cấp huyện có trách nhiệm kiểm tra thực tế, thẩm định nội dung đăng ký của cơ sở sản xuất, thông báo kết quả thẩm định cho cơ sở sản xuất bằng văn bản, nếu không đạt yêu cầu phải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đăng ký áp dụng Vietgap tại Phụ lục I, Thông tư số 42/2013/TTLT-BNNPTNT-BTC-BKHĐT ngày 16 tháng 10 năm 2013 của liên bộ Nông nghiệp và Phát triển nông thôn, Tài chính, Kế hoạch và Đầu tư.</w:t>
            </w:r>
          </w:p>
        </w:tc>
        <w:tc>
          <w:p/>
          <w:p>
            <w:pPr>
              <w:spacing w:after="0" w:before="0" w:lineRule="auto" w:line="276"/>
              <w:jc w:val="left"/>
            </w:pPr>
            <w:r>
              <w:rPr>
                <w:rFonts w:ascii="Times New Roman" w:hAnsi="Times New Roman" w:cs="Times New Roman" w:eastAsia="Times New Roman"/>
                <w:b w:val="false"/>
                <w:sz w:val="26"/>
              </w:rPr>
              <w:t>Giay dang ky ap dung VietGAP.docx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thành phố Đà Lạt - Tỉnh Lâm Đồng, UBND thành phố Bảo Lộc - Tỉnh Lâm Đồng, UBND huyện Lạc Dương  - Tỉnh Lâm Đồng, UBND huyện Đức Trọng - Tỉnh Lâm Đồng, UBND huyện Đơn Dương - Tỉnh Lâm Đồng, UBND huyện Lâm Hà - Tỉnh Lâm Đồng, UBND huyện Đam Rông - Tỉnh Lâm Đồng, UBND huyện Di Linh - Tỉnh Lâm Đồng, UBND huyện Bảo Lâm - Tỉnh Lâm Đồng, UBND huyện Đạ Huoai - Tỉnh Lâm Đồng, UBND huyện Đạ Tẻh - Tỉnh Lâm Đồng, UBND huyện Cát Tiên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Trực tiếp tại Phòng Nông nghiệp và PTNT hoặc phòng Kinh tế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kết quả lựa chọn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67/2014/QĐ-UBND</w:t>
            </w:r>
          </w:p>
        </w:tc>
        <w:tc>
          <w:p/>
          <w:p>
            <w:pPr>
              <w:spacing w:after="0" w:before="0" w:lineRule="auto" w:line="276"/>
              <w:jc w:val="left"/>
            </w:pPr>
            <w:r>
              <w:rPr>
                <w:rFonts w:ascii="Times New Roman" w:hAnsi="Times New Roman" w:cs="Times New Roman" w:eastAsia="Times New Roman"/>
                <w:b w:val="false"/>
                <w:sz w:val="26"/>
              </w:rPr>
              <w:t>Quyết định số 67/2014/QĐ-UBND ngày 10 tháng 12 năm 2014 của UBND tỉnh Lâm Đồng ban hành quy định về nội dung, danh mục và mức hỗ trợ áp dụng quy trình thực hành sản xuất nông nghiệp tốt vietgap trong nông nghiệp và thủy sản trên địa bàn tỉnh Lâm Đồng.</w:t>
            </w:r>
          </w:p>
        </w:tc>
        <w:tc>
          <w:p/>
          <w:p>
            <w:pPr>
              <w:spacing w:after="0" w:before="0" w:lineRule="auto" w:line="276"/>
              <w:jc w:val="left"/>
            </w:pPr>
            <w:r>
              <w:rPr>
                <w:rFonts w:ascii="Times New Roman" w:hAnsi="Times New Roman" w:cs="Times New Roman" w:eastAsia="Times New Roman"/>
                <w:b w:val="false"/>
                <w:sz w:val="26"/>
              </w:rPr>
              <w:t>10-12-2014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2026-05-26T18:16:49Z</dcterms:created>
  <dc:creator>Apache POI</dc:creator>
</cp:coreProperties>
</file>