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1.008068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đối với Phòng khám, điều trị bệnh nghề nghiệp thuộc thẩm quyền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(GPHĐ) về Bộ Y tế (Cục Quản lý môi trường y tế); 
Bước 2: Bộ Y tế tiếp nhận và gửi Phiếu tiếp nhận hồ sơ theo quy định tại mẫu số 09 Phụ lục XI ban hành kèm theo Nghị định số 109/2016/NĐ-CP cho cơ sở đề nghị cấp giấy phép hoạt động.
Bước 3: 
-	Trường hợp hồ sơ đã đầy đủ và hợp lệ, Cục Quản lý môi trường y tế tiến hành thẩm định hồ sơ để cấp giấy phép hoạt động trong thời hạn 45 ngày kể từ ngày ghi trên phiếu tiếp nhận hồ sơ.
-	Trường hợp hồ sơ chưa hợp lệ thì thực hiện như sau:
+ Trong thời hạn 10 ngày làm việc, kể từ ngày ghi trên Phiếu tiếp nhận hồ sơ, Cục Quản lý môi trường y tế có văn bản thông báo cho cơ sở đề nghị cấp giấy phép để hoàn chỉnh hồ sơ. 
+ Sau 10 ngày làm việc, kể từ ngày nhận được hồ sơ bổ sung, sửa đổi nếu Cục Quản lý môi trường y tế không có văn bản yêu cầu sửa đổi, bổ sung tiếp theo thì sẽ tiến hành thẩm định hồ sơ để cấp giấy phép hoạt động theo quy định. Trường hợp không cấp GPHĐ, Cục Quản lý môi trường y tế phải có văn bản trả lời và nêu rõ lý do.
Bước 4: Trả GPHĐ cho cơ sở. (GPHĐ do Cục trưởng Cục Quản lý môi trường y tế ký).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4.300.000 Đồng</w:t>
              <w:t xml:space="preserve"> ((Theo quy định tại Thông tư 278/2016/TT-BTC ngày 14/11/2016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Gửi hồ sơ qua đường bưu điện hoặc nộp trực tiếp tại Cục Quản lý môi trường y tế, Bộ Y tế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4.300.000 Đồng</w:t>
              <w:t xml:space="preserve"> ((Theo quy định tại Thông tư 278/2016/TT-BTC ngày 14/11/2016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Gửi hồ sơ qua đường bưu điện hoặc nộp trực tiếp tại Cục Quản lý môi trường y tế, Bộ Y tế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giấy phép hoạt động theo Mẫu 01 Phụ lục XI ban hành kèm theo Nghị định 109/2016/NĐ-CP;</w:t>
            </w:r>
          </w:p>
        </w:tc>
        <w:tc>
          <w:p/>
          <w:p>
            <w:pPr>
              <w:spacing w:after="0" w:before="0" w:lineRule="auto" w:line="276"/>
              <w:jc w:val="left"/>
            </w:pPr>
            <w:r>
              <w:rPr>
                <w:rFonts w:ascii="Times New Roman" w:hAnsi="Times New Roman" w:cs="Times New Roman" w:eastAsia="Times New Roman"/>
                <w:b w:val="false"/>
                <w:sz w:val="26"/>
              </w:rPr>
              <w:t>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hợp lệ quyết định thành lập hoặc văn bản có tên của cơ sở khám bệnh, chữa bệnh của cơ quan nhà nước có thẩm quyền đối với cơ sở khám bệnh, chữa bệnh của Nhà nước hoặc giấy chứng nhận đăng ký doanh nghiệp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hợp lệ chứng chỉ hành nghề của người chịu trách nhiệm chuyên môn kỹ thuật của cơ sở khám bệnh, chữa bệnh; người phụ trách bộ phận chuyên môn của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Danh sách đăng ký người hành nghề tại cơ sở khám bệnh, chữa bệnh (bao gồm đăng ký người hành nghề và người làm việc chuyên môn y tế tại cơ sở nhưng không thuộc diện phải cấp chứng chỉ hành nghề) theo mẫu quy định tại Phụ lục IV ban hành kèm theo Nghị định 109/2016/NĐ-CP;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Bản kê khai cơ sở vật chất, thiết bị y tế, tổ chức và nhân sự của cơ sở khám bệnh, chữa bệnh theo Mẫu 02 Phụ lục XI ban hành kèm theo Nghị định 109/2016/NĐ-CP;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Nghị định 109/2016/NĐ-CP và Chương V Nghị định 155/2018/NĐ-CP;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Danh mục chuyên môn kỹ thuật của cơ sở khám bệnh, chữa bệnh đề xuất trên cơ sở danh mục chuyên môn kỹ thuật do Bộ trưởng Bộ Y tế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Môi trường Y tế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khám bệnh, chữa bệnh số 40/2009/QH12 ngày 23/11/2009.</w:t>
            </w:r>
          </w:p>
        </w:tc>
        <w:tc>
          <w:p/>
          <w:p>
            <w:pPr>
              <w:spacing w:after="0" w:before="0" w:lineRule="auto" w:line="276"/>
              <w:jc w:val="left"/>
            </w:pPr>
            <w:r>
              <w:rPr>
                <w:rFonts w:ascii="Times New Roman" w:hAnsi="Times New Roman" w:cs="Times New Roman" w:eastAsia="Times New Roman"/>
                <w:b w:val="false"/>
                <w:sz w:val="26"/>
              </w:rPr>
              <w:t>23-11-2009</w:t>
            </w:r>
          </w:p>
        </w:tc>
        <w:tc>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số 87/2011/NĐ-CP ngày 27/9/2011 của Chính phủ 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số 109/2016/NĐ-CP ngày 01/7/2016 của Chính phủ 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4- Nghị định 155/2018/NĐ-CP ngày 13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13-11-2018</w:t>
            </w:r>
          </w:p>
        </w:tc>
        <w:tc>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ngày 14/11/2016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Quy mô: 
Phòng khám, điều trị bệnh nghề nghiệp có quy mô tương đương với phòng khám đa khoa hoặc phòng khám chuyên khoa tùy theo cơ sở pháp lý để thành lập các phòng khám này.
2. Cơ sở vật chất:
a) Có địa điểm cố định (trừ trường hợp tổ chức khám bệnh, chữa bệnh lưu động);
b) Bảo đảm các điều kiện về an toàn bức xạ, phòng cháy chữa cháy theo quy định của pháp luật;
c) Phải bố trí khu vực tiệt trùng để xử lý dụng cụ y tế sử dụng lại, trừ trường hợp không có dụng cụ phải tiệt trùng lại hoặc có hợp đồng với cơ sở y tế khác để tiệt trùng dụng cụ.
3. Trang thiết bị y tế:
a) Có đủ trang thiết bị y tế phù hợp với phạm vi hoạt động chuyên môn của cơ sở;
b) Có bộ phận xét nghiệm sinh hóa;
4. Nhân sự:
a) Mỗi cơ sở khám bệnh, chữa bệnh phải có một người chịu trách nhiệm chuyên môn kỹ thuật. Người chịu trách nhiệm chuyên môn kỹ thuật và trưởng các khoa chuyên môn của cơ sở khám bệnh, chữa bệnh phải đáp ứng các điều kiện sau đây:
- Là bác sỹ có chứng chỉ hành nghề có phạm vi hoạt động chuyên môn phù hợp phạm vi hoạt động chuyên môn của cơ sở.
- Trường hợp cơ sở khám bệnh, chữa bệnh gồm nhiều chuyên khoa thì chứng chỉ hành nghề của người chịu trách nhiệm chuyên môn kỹ thuật phải có phạm vi hoạt động chuyên môn phù hợp với ít nhất một trong các chuyên khoa lâm sàng mà cơ sở đăng ký hoạt động.
- Người chịu trách nhiệm chuyên môn kỹ thuật của Phòng khám, điều trị bệnh nghề nghiệp phải đáp ứng các điều kiện sau đây:
+ Là bác sỹ chuyên khoa bệnh nghề nghiệp có chứng chỉ hành nghề hoặc bác sỹ đa khoa có chứng chỉ hành nghề và chứng chỉ đào tạo về bệnh nghề nghiệp;
+ Có thời gian hành nghề khám bệnh, chữa bệnh ít nhất là 36 tháng sau khi được cấp chứng chỉ hành nghề hoặc có thời gian trực tiếp tham gia khám bệnh, chữa bệnh ít nhất là 54 tháng. Việc phân công, bổ nhiệm người chịu trách nhiệm chuyên môn kỹ thuật của cơ sở khám bệnh, chữa bệnh phải được thể hiện bằng văn bản;
+ Là người hành nghề cơ hữu tại cơ sở.
b) Ngoài người chịu trách nhiệm chuyên môn kỹ thuật của cơ sở khám bệnh, chữa bệnh, các đối tượng khác làm việc trong cơ sở nếu có thực hiện việc khám bệnh, chữa bệnh thì phải có chứng chỉ hành nghề và chỉ được thực hiện việc khám bệnh, chữa bệnh trong phạm vi công việc được phân công. Căn cứ vào phạm vi hoạt động chuyên môn, văn bằng, chứng chỉ, chứng nhận đào tạo và năng lực của người hành nghề, người chịu trách nhiệm chuyên môn kỹ thuật của cơ sở khám bệnh, chữa bệnh phân công người hành nghề được thực hiện các kỹ thuật chuyên môn bằng văn bản;
c) Kỹ thuật viên xét nghiệm có trình độ đại học được đọc và ký kết quả xét nghiệm. Trường hợp cơ sở khám bệnh, chữa bệnh không có bác sỹ chuyên khoa xét nghiệm hoặc kỹ thuật viên xét nghiệm có trình độ đại học thì bác sỹ chỉ định xét nghiệm đọc và ký kết quả xét nghiệm;
d) Cử nhân X-Quang có trình độ đại học được đọc và mô tả hình ảnh chẩn đoán. Trường hợp cơ sở khám bệnh, chữa bệnh không có bác sỹ chuyên khoa chẩn đoán hình ảnh hoặc bác sỹ X-Quang thì bác sỹ chỉ định kỹ thuật chẩn đoán hình ảnh đọc và ký kết quả chẩn đoán hình ảnh;
đ) Các đối tượng khác tham gia vào quá trình khám bệnh, chữa bệnh nhưng không cần phải cấp chứng chỉ hành nghề theo quy định của Luật khám bệnh, chữa bệnh thì được phép thực hiện các hoạt động theo phân công của người chịu trách nhiệm chuyên môn kỹ thuật của cơ sở khám bệnh, chữa bệnh (kỹ sư vật lý y học, kỹ sư xạ trị, âm ngữ trị liệu, tâm lý trị liệu và các đối tượng khác), việc phân công phải phù hợp với văn bằng chuyên môn của người đó.
5. Phạm vi hoạt động chuyên môn: 
Thực hiện các kỹ thuật chuyên môn theo danh mục được Bộ trưởng Bộ Y tế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2026-05-27T19:39:14Z</dcterms:created>
  <dc:creator>Apache POI</dc:creator>
</cp:coreProperties>
</file>