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2.001786.000.00.00.H29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chứng nhận đủ Điều kiện hoạt động điểm cung cấp dịch vụ trò chơi điện tử công cộng bị mất, bị rách, bị cháy hoặc bị tiêu hủy dưới hình thức khác, chủ điểm cung cấp dịch vụ trò chơi điện tử công cộng phải gửi hồ sơ đề nghị cấp lại giấy chứng nhận tới Cơ quan cấp giấy chứng nhận.</w:t>
      </w:r>
    </w:p>
    <w:p>
      <w:pPr>
        <w:spacing w:after="0" w:before="0" w:lineRule="auto" w:line="276"/>
        <w:jc w:val="both"/>
      </w:pPr>
      <w:r>
        <w:rPr>
          <w:rFonts w:ascii="Times New Roman" w:hAnsi="Times New Roman" w:cs="Times New Roman" w:eastAsia="Times New Roman"/>
          <w:b w:val="false"/>
          <w:sz w:val="26"/>
        </w:rPr>
        <w:t>Trong thời hạn 05 ngày làm việc, cơ quan cấp giấy chứng nhận thực hiện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false"/>
          <w:sz w:val="26"/>
        </w:rPr>
        <w:t xml:space="preserve">Trường hợp từ chối, cơ quan cấp giấy chứng nhận có trách nhiệm trả lời bằng văn bản, trong đó nêu rõ lý do từ chối.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Mauso55a55bdondenghicaplaiGCNdudieukienhoatdongdiemgamecongcong.docx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Ủy ban nhân dân cấp huyện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27/2018/NĐ-CP</w:t>
            </w:r>
          </w:p>
        </w:tc>
        <w:tc>
          <w:p/>
          <w:p>
            <w:pPr>
              <w:spacing w:after="0" w:before="0" w:lineRule="auto" w:line="276"/>
              <w:jc w:val="left"/>
            </w:pPr>
            <w:r>
              <w:rPr>
                <w:rFonts w:ascii="Times New Roman" w:hAnsi="Times New Roman" w:cs="Times New Roman" w:eastAsia="Times New Roman"/>
                <w:b w:val="false"/>
                <w:sz w:val="26"/>
              </w:rPr>
              <w:t>Nghị định 27/2018/NĐ-CP</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2026-05-13T18:32:07Z</dcterms:created>
  <dc:creator>Apache POI</dc:creator>
</cp:coreProperties>
</file>