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2.001884.000.00.00.H29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Trong thời hạn hiệu lực của giấy chứng nhận đủ Điều kiện hoạt động điểm cung cấp dịch vụ trò chơi điện tử công cộng, chủ điểm cung cấp dịch vụ trò chơi điện tử công cộng phải làm thủ tục sửa đổi, bổ sung giấy chứng nhận đủ Điều kiện hoạt động điểm cung cấp dịch vụ trò chơi điện tử công cộng đã được cấp thuộc một trong các trường hợp sau đây:
a) Thay đổi tên điểm cung cấp dịch vụ trò chơi điện tử công cộng;
b)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w:t>
      </w:r>
    </w:p>
    <w:p>
      <w:pPr>
        <w:spacing w:after="0" w:before="0" w:lineRule="auto" w:line="276"/>
        <w:jc w:val="both"/>
      </w:pPr>
      <w:r>
        <w:rPr>
          <w:rFonts w:ascii="Times New Roman" w:hAnsi="Times New Roman" w:cs="Times New Roman" w:eastAsia="Times New Roman"/>
          <w:b w:val="false"/>
          <w:sz w:val="26"/>
        </w:rPr>
        <w:t>2. Trong thời hạn 05 ngày làm việc, Cơ quan cấp giấy chứng nhận có trách nhiệm thẩm định và cấp giấy chứng nhận đủ Điều kiện hoạt động điểm cung cấp dịch vụ trò chơi điện tử công cộng sửa đổi, bổ sung thay thế cho giấy chứng nhận cũ. Trường hợp từ chối, Cơ quan cấp giấy chứng nhận có trách nhiệm trả lời bằng văn bản, trong đó nêu rõ lý do từ chối.</w:t>
      </w:r>
    </w:p>
    <w:p>
      <w:pPr>
        <w:spacing w:after="0" w:before="0" w:lineRule="auto" w:line="276"/>
        <w:jc w:val="both"/>
      </w:pPr>
      <w:r>
        <w:rPr>
          <w:rFonts w:ascii="Times New Roman" w:hAnsi="Times New Roman" w:cs="Times New Roman" w:eastAsia="Times New Roman"/>
          <w:b w:val="false"/>
          <w:sz w:val="26"/>
        </w:rPr>
        <w:t>3.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Mauso52a52bDondenghisuadoibosungGCNdudieukienhoatdongdiemgamecongcong.docx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Ủy ban nhân dân cấp huyện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27/2018/NĐ-CP</w:t>
            </w:r>
          </w:p>
        </w:tc>
        <w:tc>
          <w:p/>
          <w:p>
            <w:pPr>
              <w:spacing w:after="0" w:before="0" w:lineRule="auto" w:line="276"/>
              <w:jc w:val="left"/>
            </w:pPr>
            <w:r>
              <w:rPr>
                <w:rFonts w:ascii="Times New Roman" w:hAnsi="Times New Roman" w:cs="Times New Roman" w:eastAsia="Times New Roman"/>
                <w:b w:val="false"/>
                <w:sz w:val="26"/>
              </w:rPr>
              <w:t>Nghị định 27/2018/NĐ-CP</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Nghị định 72/2013/NĐ-CP</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Nghị định 150/2018/NĐ-CP</w:t>
            </w:r>
          </w:p>
        </w:tc>
        <w:tc>
          <w:p/>
          <w:p>
            <w:pPr>
              <w:spacing w:after="0" w:before="0" w:lineRule="auto" w:line="276"/>
              <w:jc w:val="left"/>
            </w:pPr>
            <w:r>
              <w:rPr>
                <w:rFonts w:ascii="Times New Roman" w:hAnsi="Times New Roman" w:cs="Times New Roman" w:eastAsia="Times New Roman"/>
                <w:b w:val="false"/>
                <w:sz w:val="26"/>
              </w:rPr>
              <w:t>07-11-2018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2026-05-13T18:32:33Z</dcterms:created>
  <dc:creator>Apache POI</dc:creator>
</cp:coreProperties>
</file>