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quyền sử dụng mã số, mã vạch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nhu cầu cấp Giấy chứng nhận quyền sử dụng mã số, mã vạch nộp hồ sơ đăng ký thực hiện đến Bộ phận Một cửa của Bộ Khoa học và Công nghệ (Ủy ban Tiêu chuẩn Đo lường Chất lượng Quốc gia).</w:t>
      </w:r>
    </w:p>
    <w:p>
      <w:pPr>
        <w:spacing w:after="0" w:before="0" w:lineRule="auto" w:line="276"/>
        <w:jc w:val="both"/>
      </w:pPr>
      <w:r>
        <w:rPr>
          <w:rFonts w:ascii="Times New Roman" w:hAnsi="Times New Roman" w:cs="Times New Roman" w:eastAsia="Times New Roman"/>
          <w:b w:val="false"/>
          <w:sz w:val="26"/>
        </w:rPr>
        <w:t>Bước 2: Ủy ban Tiêu chuẩn Đo lường Chất lượng Quốc gia tiếp nhận hồ sơ, xem xét, thẩm định theo quy định:
2.1. Với hồ sơ nộp qua dịch vụ bưu chính công ích hoặc trực tiếp tại Bộ phận một cửa Bộ Khoa học và Công nghệ:
- Trường hợp hồ sơ không đầy đủ theo quy định, trong thời hạn 05 ngày làm việc (đối với hồ sơ nộp bản giấy) hoặc 01 ngày làm việc (đối với hồ sơ nộp trực tuyến), kể từ ngày nhận được hồ sơ, cơ quan thường trực về mã số, mã vạch thông báo cho tổ chức, cá nhân nộp hồ sơ để sửa đổi, bổ sung. Trong thời hạn hạn 20 ngày (đối với hồ sơ nộp bản giấy) hoặc 05 ngày làm việc (đối với hồ sơ nộp trực tuyến) kể từ ngày có thông báo, tổ chức, cá nhân sửa đổi, bổ sung hồ sơ đăng ký. 
- Trường hợp hồ sơ không đáp ứng yêu cầu, cơ quan thường trực về mã số, mã vạch phải thông báo và nêu rõ lý do. 
- Trường hợp hồ sơ đầy đủ, hợp lệ và tổ chức, cá nhân nộp hồ sơ đóng các khoản phí theo quy định, cơ quan thường trực về mã số, mã vạch có trách nhiệm cấp Giấy chứng nhận mã số mã vạch. Thời hạn hiệu lực của giấy chứng nhận không quá 03 năm kể từ ngày cấp. Thời hạn hiệu lực của Giấy chứng nhận quyền sử dụng mã số, mã vạch được cấp lại ghi theo thời hạn hiệu lực của Giấy chứng nhận quyền sử dụng mã số, mã vạch đã được cấp.
2.2. Với hồ sơ nộp trực tuyến qua Cổng dịch vụ công Quốc gia:
a1) Trường hợp hồ sơ đăng ký cấp giấy chứng nhận quyền sử dụng mã số, mã vạch không đầy đủ theo quy định, trong thời hạn 01 ngày làm việc kể từ ngày nhận được hồ sơ, cơ quan xử lý thông báo cho tổ chức, cá nhân để sửa đổi, bổ sugn thông qua Cổng dịch vụ công quốc gia. Trong thời hạn 03 ngày làm việc kể từ ngày có thông báo, tổ chức, cá nhân sửa đổi, bổ sung hồ sơ đã đăng ký;
a2) Trường hợp hồ sơ đăng ký cấp mới Giấy chứng nhận quyền sử dụng mã số, mã vạch đầy đủ, hợp lệ và tổ chức, cá nhân đóng các khoản phí theo quy định; cơ quan xử lý có trách nhiệm cấp giấy chứng nhận quyền sử dụng ãm số, mã vạch trong thời hạn mười (10) ngày làm việc với các nội dung quy định tại Mẫu số 14 Phụ lục ban hành kèm theo Nghị định số 13/2022/NĐ-CP ngày 21/01/2022 của Chính phủ sửa đổi, bổ sung một số điều Nghị định 132/2008/NĐ-CP ngày 31 tháng 12 năm 2008, Nghị định số 74/2018/NĐ-CP ngày 15 tháng 5 năm 2018 của Chính phủ quy định chi tiết và hướng dẫn thi hành một số điều Luật Đo lường;
a3) Thời hạn hiệu lực của giấy chứng nhận không quá 03 năm kể từ ngày cấp.</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Bộ phận một cửa Bộ Khoa học và Công nghệ hoặc qua Bưu chính công ích hoặc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w:t>
            </w:r>
          </w:p>
        </w:tc>
        <w:tc>
          <w:p/>
          <w:p>
            <w:pPr>
              <w:spacing w:after="0" w:before="0" w:lineRule="auto" w:line="276"/>
              <w:jc w:val="left"/>
            </w:pPr>
            <w:r>
              <w:rPr>
                <w:rFonts w:ascii="Times New Roman" w:hAnsi="Times New Roman" w:cs="Times New Roman" w:eastAsia="Times New Roman"/>
                <w:b w:val="false"/>
                <w:sz w:val="26"/>
              </w:rPr>
              <w:t xml:space="preserve">Phí : 2.000.000 đồng/năm </w:t>
              <w:t xml:space="preserve"> (Sử dụng mã doanh nghiệp GS1 loại 7 số (tương ứng với trường hợp doanh nghiệp được sử dụng 100.000 số vật phẩm))</w:t>
            </w:r>
          </w:p>
          <w:p>
            <w:pPr>
              <w:spacing w:after="0" w:before="0" w:lineRule="auto" w:line="276"/>
              <w:jc w:val="left"/>
            </w:pPr>
            <w:r>
              <w:rPr>
                <w:rFonts w:ascii="Times New Roman" w:hAnsi="Times New Roman" w:cs="Times New Roman" w:eastAsia="Times New Roman"/>
                <w:b w:val="false"/>
                <w:sz w:val="26"/>
              </w:rPr>
              <w:t xml:space="preserve">Phí :  </w:t>
              <w:t xml:space="preserve"> (Trường hợp tổ chức, cá nhân được nhận Giấy chứng nhận quyền sử dụng mã số mã vạch sau ngày 30 tháng 6 thì chỉ phải nộp 50% (năm mươi phần trăm) mức phí duy trì tương ứng với từng loại mã số mã vạch theo quy định nêu trên)</w:t>
            </w:r>
          </w:p>
          <w:p>
            <w:pPr>
              <w:spacing w:after="0" w:before="0" w:lineRule="auto" w:line="276"/>
              <w:jc w:val="left"/>
            </w:pPr>
            <w:r>
              <w:rPr>
                <w:rFonts w:ascii="Times New Roman" w:hAnsi="Times New Roman" w:cs="Times New Roman" w:eastAsia="Times New Roman"/>
                <w:b w:val="false"/>
                <w:sz w:val="26"/>
              </w:rPr>
              <w:t xml:space="preserve">Phí : 300.000 đồng/mã </w:t>
              <w:t xml:space="preserve"> (Sử dụng mã địa điểm toàn cầu (GLN))</w:t>
            </w:r>
          </w:p>
          <w:p>
            <w:pPr>
              <w:spacing w:after="0" w:before="0" w:lineRule="auto" w:line="276"/>
              <w:jc w:val="left"/>
            </w:pPr>
            <w:r>
              <w:rPr>
                <w:rFonts w:ascii="Times New Roman" w:hAnsi="Times New Roman" w:cs="Times New Roman" w:eastAsia="Times New Roman"/>
                <w:b w:val="false"/>
                <w:sz w:val="26"/>
              </w:rPr>
              <w:t xml:space="preserve">Phí : 300.000 đồng/mã </w:t>
              <w:t xml:space="preserve"> (Sử dụng mã số thương phẩm toàn cầu 8 chữ số EAN-8 (GTIN-8))</w:t>
            </w:r>
          </w:p>
          <w:p>
            <w:pPr>
              <w:spacing w:after="0" w:before="0" w:lineRule="auto" w:line="276"/>
              <w:jc w:val="left"/>
            </w:pPr>
            <w:r>
              <w:rPr>
                <w:rFonts w:ascii="Times New Roman" w:hAnsi="Times New Roman" w:cs="Times New Roman" w:eastAsia="Times New Roman"/>
                <w:b w:val="false"/>
                <w:sz w:val="26"/>
              </w:rPr>
              <w:t xml:space="preserve">Phí : 200.000 đồng/năm </w:t>
              <w:t xml:space="preserve"> (Sử dụng mã địa điểm toàn cầu (GLN))</w:t>
            </w:r>
          </w:p>
          <w:p>
            <w:pPr>
              <w:spacing w:after="0" w:before="0" w:lineRule="auto" w:line="276"/>
              <w:jc w:val="left"/>
            </w:pPr>
            <w:r>
              <w:rPr>
                <w:rFonts w:ascii="Times New Roman" w:hAnsi="Times New Roman" w:cs="Times New Roman" w:eastAsia="Times New Roman"/>
                <w:b w:val="false"/>
                <w:sz w:val="26"/>
              </w:rPr>
              <w:t xml:space="preserve">Phí : 200.000 đồng/năm </w:t>
              <w:t xml:space="preserve"> (Sử dụng mã số thương phẩm toàn cầu 8 chữ số EAN-8 (GTIN-8))</w:t>
            </w:r>
          </w:p>
          <w:p>
            <w:pPr>
              <w:spacing w:after="0" w:before="0" w:lineRule="auto" w:line="276"/>
              <w:jc w:val="left"/>
            </w:pPr>
            <w:r>
              <w:rPr>
                <w:rFonts w:ascii="Times New Roman" w:hAnsi="Times New Roman" w:cs="Times New Roman" w:eastAsia="Times New Roman"/>
                <w:b w:val="false"/>
                <w:sz w:val="26"/>
              </w:rPr>
              <w:t xml:space="preserve">Phí : 500.000 đồng/năm </w:t>
              <w:t xml:space="preserve"> (Sử dụng mã doanh nghiệp GS1 loại 10 số (tương ứng với trường hợp doanh nghiệp được sử dụng 100 số vật phẩm))</w:t>
            </w:r>
          </w:p>
          <w:p>
            <w:pPr>
              <w:spacing w:after="0" w:before="0" w:lineRule="auto" w:line="276"/>
              <w:jc w:val="left"/>
            </w:pPr>
            <w:r>
              <w:rPr>
                <w:rFonts w:ascii="Times New Roman" w:hAnsi="Times New Roman" w:cs="Times New Roman" w:eastAsia="Times New Roman"/>
                <w:b w:val="false"/>
                <w:sz w:val="26"/>
              </w:rPr>
              <w:t xml:space="preserve">Phí : 800.000 đồng/năm </w:t>
              <w:t xml:space="preserve"> (Sử dụng mã doanh nghiệp GS1 loại 9 số (tương ứng với trường hợp doanh nghiệp được sử dụng 1.000 số vật phẩm))</w:t>
            </w:r>
          </w:p>
          <w:p>
            <w:pPr>
              <w:spacing w:after="0" w:before="0" w:lineRule="auto" w:line="276"/>
              <w:jc w:val="left"/>
            </w:pPr>
            <w:r>
              <w:rPr>
                <w:rFonts w:ascii="Times New Roman" w:hAnsi="Times New Roman" w:cs="Times New Roman" w:eastAsia="Times New Roman"/>
                <w:b w:val="false"/>
                <w:sz w:val="26"/>
              </w:rPr>
              <w:t xml:space="preserve">Phí : 1.000.000 đồng/mã </w:t>
              <w:t xml:space="preserve"> (Sử dụng mã doanh nghiệp GS1 (không phân biệt mã số đăng ký sử dụng))</w:t>
            </w:r>
          </w:p>
          <w:p>
            <w:pPr>
              <w:spacing w:after="0" w:before="0" w:lineRule="auto" w:line="276"/>
              <w:jc w:val="left"/>
            </w:pPr>
            <w:r>
              <w:rPr>
                <w:rFonts w:ascii="Times New Roman" w:hAnsi="Times New Roman" w:cs="Times New Roman" w:eastAsia="Times New Roman"/>
                <w:b w:val="false"/>
                <w:sz w:val="26"/>
              </w:rPr>
              <w:t xml:space="preserve">Phí : 1.500.000 đồng/năm </w:t>
              <w:t xml:space="preserve"> (Sử dụng mã doanh nghiệp GS1 loại 8 số (tương ứng với trường hợp doanh nghiệp được sử dụng 10.000 số vật phẩm))</w:t>
            </w:r>
          </w:p>
        </w:tc>
        <w:tc>
          <w:p/>
          <w:p>
            <w:pPr>
              <w:spacing w:after="0" w:before="0" w:lineRule="auto" w:line="276"/>
              <w:jc w:val="left"/>
            </w:pPr>
            <w:r>
              <w:rPr>
                <w:rFonts w:ascii="Times New Roman" w:hAnsi="Times New Roman" w:cs="Times New Roman" w:eastAsia="Times New Roman"/>
                <w:b w:val="false"/>
                <w:sz w:val="26"/>
              </w:rPr>
              <w:t>13 ngày kể từ ngày nhận được hồ sơ hợp lệ đối với hồ sơ nộp bản giấy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1.500.000 đồng/năm Đồng</w:t>
              <w:t xml:space="preserve"> (Sử dụng mã doanh nghiệp GS1 loại 8 số (tương ứng với trường hợp doanh nghiệp được sử dụng 10.000 số vật phẩm))</w:t>
            </w:r>
          </w:p>
          <w:p>
            <w:pPr>
              <w:spacing w:after="0" w:before="0" w:lineRule="auto" w:line="276"/>
              <w:jc w:val="left"/>
            </w:pPr>
            <w:r>
              <w:rPr>
                <w:rFonts w:ascii="Times New Roman" w:hAnsi="Times New Roman" w:cs="Times New Roman" w:eastAsia="Times New Roman"/>
                <w:b w:val="false"/>
                <w:sz w:val="26"/>
              </w:rPr>
              <w:t>Phí : 2.000.000 đồng/năm Đồng</w:t>
              <w:t xml:space="preserve"> (Sử dụng mã doanh nghiệp GS1 loại 7 số (tương ứng với trường hợp doanh nghiệp được sử dụng 100.000 số vật phẩm))</w:t>
            </w:r>
          </w:p>
          <w:p>
            <w:pPr>
              <w:spacing w:after="0" w:before="0" w:lineRule="auto" w:line="276"/>
              <w:jc w:val="left"/>
            </w:pPr>
            <w:r>
              <w:rPr>
                <w:rFonts w:ascii="Times New Roman" w:hAnsi="Times New Roman" w:cs="Times New Roman" w:eastAsia="Times New Roman"/>
                <w:b w:val="false"/>
                <w:sz w:val="26"/>
              </w:rPr>
              <w:t>Phí : 300.000 đồng/mã Đồng</w:t>
              <w:t xml:space="preserve"> (Sử dụng mã số thương phẩm toàn cầu 8 chữ số EAN-8 (GTIN-8))</w:t>
            </w:r>
          </w:p>
          <w:p>
            <w:pPr>
              <w:spacing w:after="0" w:before="0" w:lineRule="auto" w:line="276"/>
              <w:jc w:val="left"/>
            </w:pPr>
            <w:r>
              <w:rPr>
                <w:rFonts w:ascii="Times New Roman" w:hAnsi="Times New Roman" w:cs="Times New Roman" w:eastAsia="Times New Roman"/>
                <w:b w:val="false"/>
                <w:sz w:val="26"/>
              </w:rPr>
              <w:t>Phí : 200.000 đồng/năm Đồng</w:t>
              <w:t xml:space="preserve"> (Sử dụng mã địa điểm toàn cầu (GLN))</w:t>
            </w:r>
          </w:p>
          <w:p>
            <w:pPr>
              <w:spacing w:after="0" w:before="0" w:lineRule="auto" w:line="276"/>
              <w:jc w:val="left"/>
            </w:pPr>
            <w:r>
              <w:rPr>
                <w:rFonts w:ascii="Times New Roman" w:hAnsi="Times New Roman" w:cs="Times New Roman" w:eastAsia="Times New Roman"/>
                <w:b w:val="false"/>
                <w:sz w:val="26"/>
              </w:rPr>
              <w:t>Phí : 200.000 đồng/năm Đồng</w:t>
              <w:t xml:space="preserve"> (Sử dụng mã số thương phẩm toàn cầu 8 chữ số EAN-8 (GTIN-8))</w:t>
            </w:r>
          </w:p>
          <w:p>
            <w:pPr>
              <w:spacing w:after="0" w:before="0" w:lineRule="auto" w:line="276"/>
              <w:jc w:val="left"/>
            </w:pPr>
            <w:r>
              <w:rPr>
                <w:rFonts w:ascii="Times New Roman" w:hAnsi="Times New Roman" w:cs="Times New Roman" w:eastAsia="Times New Roman"/>
                <w:b w:val="false"/>
                <w:sz w:val="26"/>
              </w:rPr>
              <w:t>Phí : 500.000 đồng/năm Đồng</w:t>
              <w:t xml:space="preserve"> (Sử dụng mã doanh nghiệp GS1 loại 10 số (tương ứng với trường hợp doanh nghiệp được sử dụng 100 số vật phẩm))</w:t>
            </w:r>
          </w:p>
          <w:p>
            <w:pPr>
              <w:spacing w:after="0" w:before="0" w:lineRule="auto" w:line="276"/>
              <w:jc w:val="left"/>
            </w:pPr>
            <w:r>
              <w:rPr>
                <w:rFonts w:ascii="Times New Roman" w:hAnsi="Times New Roman" w:cs="Times New Roman" w:eastAsia="Times New Roman"/>
                <w:b w:val="false"/>
                <w:sz w:val="26"/>
              </w:rPr>
              <w:t>Phí : 800.000 đồng/năm Đồng</w:t>
              <w:t xml:space="preserve"> (Sử dụng mã doanh nghiệp GS1 loại 9 số (tương ứng với trường hợp doanh nghiệp được sử dụng 1.000 số vật phẩm))</w:t>
            </w:r>
          </w:p>
          <w:p>
            <w:pPr>
              <w:spacing w:after="0" w:before="0" w:lineRule="auto" w:line="276"/>
              <w:jc w:val="left"/>
            </w:pPr>
            <w:r>
              <w:rPr>
                <w:rFonts w:ascii="Times New Roman" w:hAnsi="Times New Roman" w:cs="Times New Roman" w:eastAsia="Times New Roman"/>
                <w:b w:val="false"/>
                <w:sz w:val="26"/>
              </w:rPr>
              <w:t>Phí : 1.000.000 đồng/mã Đồng</w:t>
              <w:t xml:space="preserve"> (Sử dụng mã doanh nghiệp GS1 (không phân biệt mã số đăng ký sử dụng))</w:t>
            </w:r>
          </w:p>
          <w:p>
            <w:pPr>
              <w:spacing w:after="0" w:before="0" w:lineRule="auto" w:line="276"/>
              <w:jc w:val="left"/>
            </w:pPr>
            <w:r>
              <w:rPr>
                <w:rFonts w:ascii="Times New Roman" w:hAnsi="Times New Roman" w:cs="Times New Roman" w:eastAsia="Times New Roman"/>
                <w:b w:val="false"/>
                <w:sz w:val="26"/>
              </w:rPr>
              <w:t>Phí :  Đồng</w:t>
              <w:t xml:space="preserve"> (Trường hợp tổ chức, cá nhân nộp hồ sơ cấp Giấy chứng nhận quyền sử dụng mã số mã vạch sau ngày 30 tháng 6 thì chỉ phải nộp 50% (năm mươi phần trăm) mức phí duy trì tương ứng với từng loại mã số mã vạch theo quy định nêu trên.)</w:t>
            </w:r>
          </w:p>
          <w:p>
            <w:pPr>
              <w:spacing w:after="0" w:before="0" w:lineRule="auto" w:line="276"/>
              <w:jc w:val="left"/>
            </w:pPr>
            <w:r>
              <w:rPr>
                <w:rFonts w:ascii="Times New Roman" w:hAnsi="Times New Roman" w:cs="Times New Roman" w:eastAsia="Times New Roman"/>
                <w:b w:val="false"/>
                <w:sz w:val="26"/>
              </w:rPr>
              <w:t>Phí : 300.000 đồng/mã Đồng</w:t>
              <w:t xml:space="preserve"> (Sử dụng mã địa điểm toàn cầu (GLN))</w:t>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 đối với hồ sơ 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w:t>
            </w:r>
          </w:p>
        </w:tc>
        <w:tc>
          <w:p/>
          <w:p>
            <w:pPr>
              <w:spacing w:after="0" w:before="0" w:lineRule="auto" w:line="276"/>
              <w:jc w:val="left"/>
            </w:pPr>
            <w:r>
              <w:rPr>
                <w:rFonts w:ascii="Times New Roman" w:hAnsi="Times New Roman" w:cs="Times New Roman" w:eastAsia="Times New Roman"/>
                <w:b w:val="false"/>
                <w:sz w:val="26"/>
              </w:rPr>
              <w:t xml:space="preserve">Phí : 500.000 đồng/năm </w:t>
              <w:t xml:space="preserve"> (Sử dụng mã doanh nghiệp GS1 loại 10 số (tương ứng với trường hợp doanh nghiệp được sử dụng 100 số vật phẩm))</w:t>
            </w:r>
          </w:p>
          <w:p>
            <w:pPr>
              <w:spacing w:after="0" w:before="0" w:lineRule="auto" w:line="276"/>
              <w:jc w:val="left"/>
            </w:pPr>
            <w:r>
              <w:rPr>
                <w:rFonts w:ascii="Times New Roman" w:hAnsi="Times New Roman" w:cs="Times New Roman" w:eastAsia="Times New Roman"/>
                <w:b w:val="false"/>
                <w:sz w:val="26"/>
              </w:rPr>
              <w:t xml:space="preserve">Phí : 800.000 đồng/năm </w:t>
              <w:t xml:space="preserve"> (Sử dụng mã doanh nghiệp GS1 loại 9 số (tương ứng với trường hợp doanh nghiệp được sử dụng 1.000 số vật phẩm))</w:t>
            </w:r>
          </w:p>
          <w:p>
            <w:pPr>
              <w:spacing w:after="0" w:before="0" w:lineRule="auto" w:line="276"/>
              <w:jc w:val="left"/>
            </w:pPr>
            <w:r>
              <w:rPr>
                <w:rFonts w:ascii="Times New Roman" w:hAnsi="Times New Roman" w:cs="Times New Roman" w:eastAsia="Times New Roman"/>
                <w:b w:val="false"/>
                <w:sz w:val="26"/>
              </w:rPr>
              <w:t xml:space="preserve">Phí : 1.500.000 đồng/năm </w:t>
              <w:t xml:space="preserve"> (Sử dụng mã doanh nghiệp GS1 loại 8 số (tương ứng với trường hợp doanh nghiệp được sử dụng 10.000 số vật phẩm))</w:t>
            </w:r>
          </w:p>
          <w:p>
            <w:pPr>
              <w:spacing w:after="0" w:before="0" w:lineRule="auto" w:line="276"/>
              <w:jc w:val="left"/>
            </w:pPr>
            <w:r>
              <w:rPr>
                <w:rFonts w:ascii="Times New Roman" w:hAnsi="Times New Roman" w:cs="Times New Roman" w:eastAsia="Times New Roman"/>
                <w:b w:val="false"/>
                <w:sz w:val="26"/>
              </w:rPr>
              <w:t xml:space="preserve">Phí : 2.000.000 đồng/năm </w:t>
              <w:t xml:space="preserve"> (Sử dụng mã doanh nghiệp GS1 loại 7 số (tương ứng với trường hợp doanh nghiệp được sử dụng 100.000 số vật phẩm))</w:t>
            </w:r>
          </w:p>
          <w:p>
            <w:pPr>
              <w:spacing w:after="0" w:before="0" w:lineRule="auto" w:line="276"/>
              <w:jc w:val="left"/>
            </w:pPr>
            <w:r>
              <w:rPr>
                <w:rFonts w:ascii="Times New Roman" w:hAnsi="Times New Roman" w:cs="Times New Roman" w:eastAsia="Times New Roman"/>
                <w:b w:val="false"/>
                <w:sz w:val="26"/>
              </w:rPr>
              <w:t xml:space="preserve">Phí : 1.000.000 đồng/mã </w:t>
              <w:t xml:space="preserve"> (Sử dụng mã doanh nghiệp GS1 (không phân biệt mã số đăng ký sử dụng))</w:t>
            </w:r>
          </w:p>
          <w:p>
            <w:pPr>
              <w:spacing w:after="0" w:before="0" w:lineRule="auto" w:line="276"/>
              <w:jc w:val="left"/>
            </w:pPr>
            <w:r>
              <w:rPr>
                <w:rFonts w:ascii="Times New Roman" w:hAnsi="Times New Roman" w:cs="Times New Roman" w:eastAsia="Times New Roman"/>
                <w:b w:val="false"/>
                <w:sz w:val="26"/>
              </w:rPr>
              <w:t xml:space="preserve">Phí :  </w:t>
              <w:t xml:space="preserve"> (Trường hợp tổ chức, cá nhân nộp hồ sơ cấp Giấy chứng nhận quyền sử dụng mã số mã vạch sau ngày 30 tháng 6 thì chỉ phải nộp 50% (năm mươi phần trăm) mức phí duy trì tương ứng với từng loại mã số mã vạch theo quy định nêu trên.)</w:t>
            </w:r>
          </w:p>
          <w:p>
            <w:pPr>
              <w:spacing w:after="0" w:before="0" w:lineRule="auto" w:line="276"/>
              <w:jc w:val="left"/>
            </w:pPr>
            <w:r>
              <w:rPr>
                <w:rFonts w:ascii="Times New Roman" w:hAnsi="Times New Roman" w:cs="Times New Roman" w:eastAsia="Times New Roman"/>
                <w:b w:val="false"/>
                <w:sz w:val="26"/>
              </w:rPr>
              <w:t xml:space="preserve">Phí : 300.000 đồng/mã </w:t>
              <w:t xml:space="preserve"> (Sử dụng mã địa điểm toàn cầu (GLN))</w:t>
            </w:r>
          </w:p>
          <w:p>
            <w:pPr>
              <w:spacing w:after="0" w:before="0" w:lineRule="auto" w:line="276"/>
              <w:jc w:val="left"/>
            </w:pPr>
            <w:r>
              <w:rPr>
                <w:rFonts w:ascii="Times New Roman" w:hAnsi="Times New Roman" w:cs="Times New Roman" w:eastAsia="Times New Roman"/>
                <w:b w:val="false"/>
                <w:sz w:val="26"/>
              </w:rPr>
              <w:t xml:space="preserve">Phí : 300.000 đồng/mã </w:t>
              <w:t xml:space="preserve"> (Sử dụng mã số thương phẩm toàn cầu 8 chữ số EAN-8 (GTIN-8))</w:t>
            </w:r>
          </w:p>
          <w:p>
            <w:pPr>
              <w:spacing w:after="0" w:before="0" w:lineRule="auto" w:line="276"/>
              <w:jc w:val="left"/>
            </w:pPr>
            <w:r>
              <w:rPr>
                <w:rFonts w:ascii="Times New Roman" w:hAnsi="Times New Roman" w:cs="Times New Roman" w:eastAsia="Times New Roman"/>
                <w:b w:val="false"/>
                <w:sz w:val="26"/>
              </w:rPr>
              <w:t xml:space="preserve">Phí : 200.000 đồng/năm </w:t>
              <w:t xml:space="preserve"> (Sử dụng mã địa điểm toàn cầu (GLN))</w:t>
            </w:r>
          </w:p>
          <w:p>
            <w:pPr>
              <w:spacing w:after="0" w:before="0" w:lineRule="auto" w:line="276"/>
              <w:jc w:val="left"/>
            </w:pPr>
            <w:r>
              <w:rPr>
                <w:rFonts w:ascii="Times New Roman" w:hAnsi="Times New Roman" w:cs="Times New Roman" w:eastAsia="Times New Roman"/>
                <w:b w:val="false"/>
                <w:sz w:val="26"/>
              </w:rPr>
              <w:t xml:space="preserve">Phí : 200.000 đồng/năm </w:t>
              <w:t xml:space="preserve"> (Sử dụng mã số thương phẩm toàn cầu 8 chữ số EAN-8 (GTIN-8))</w:t>
            </w:r>
          </w:p>
        </w:tc>
        <w:tc>
          <w:p/>
          <w:p>
            <w:pPr>
              <w:spacing w:after="0" w:before="0" w:lineRule="auto" w:line="276"/>
              <w:jc w:val="left"/>
            </w:pPr>
            <w:r>
              <w:rPr>
                <w:rFonts w:ascii="Times New Roman" w:hAnsi="Times New Roman" w:cs="Times New Roman" w:eastAsia="Times New Roman"/>
                <w:b w:val="false"/>
                <w:sz w:val="26"/>
              </w:rPr>
              <w:t>13 ngày kể từ ngày nhận được hồ sơ hợp lệ đối với hồ sơ nộp bản giấy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sử dụng mã số, mã vạch theo Mẫu số 12 Phụ lục ban hành kèm theo Nghị định 13/2022/NĐ-CP</w:t>
            </w:r>
          </w:p>
        </w:tc>
        <w:tc>
          <w:p/>
          <w:p>
            <w:pPr>
              <w:spacing w:after="0" w:before="0" w:lineRule="auto" w:line="276"/>
              <w:jc w:val="left"/>
            </w:pPr>
            <w:r>
              <w:rPr>
                <w:rFonts w:ascii="Times New Roman" w:hAnsi="Times New Roman" w:cs="Times New Roman" w:eastAsia="Times New Roman"/>
                <w:b w:val="false"/>
                <w:sz w:val="26"/>
              </w:rPr>
              <w:t>2.Munngkmi_N131.docx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cấp lại Giấy chứng nhận quyền sử dụng mã số, mã vạch</w:t>
            </w:r>
          </w:p>
        </w:tc>
        <w:tc>
          <w:p/>
          <w:p>
            <w:pPr>
              <w:spacing w:after="0" w:before="0" w:lineRule="auto" w:line="276"/>
              <w:jc w:val="left"/>
            </w:pPr>
            <w:r>
              <w:rPr>
                <w:rFonts w:ascii="Times New Roman" w:hAnsi="Times New Roman" w:cs="Times New Roman" w:eastAsia="Times New Roman"/>
                <w:b w:val="false"/>
                <w:sz w:val="26"/>
              </w:rPr>
              <w:t>CngvnCpliGCN-Mus14Nghnhs74.docx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Tiêu chuẩn Đo lường Chất lượng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Bộ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mã số, mã vạch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232/2016/TT-BTC</w:t>
            </w:r>
          </w:p>
        </w:tc>
        <w:tc>
          <w:p/>
          <w:p>
            <w:pPr>
              <w:spacing w:after="0" w:before="0" w:lineRule="auto" w:line="276"/>
              <w:jc w:val="left"/>
            </w:pPr>
            <w:r>
              <w:rPr>
                <w:rFonts w:ascii="Times New Roman" w:hAnsi="Times New Roman" w:cs="Times New Roman" w:eastAsia="Times New Roman"/>
                <w:b w:val="false"/>
                <w:sz w:val="26"/>
              </w:rPr>
              <w:t>Thông tư số 232/2016/TT-BTC ngày 11 tháng 11 năm 2016 của Bộ Tài chính quy định mức thu, chế độ thu, nộp, quản lý và sử dụng phí cấp mã số, mã vạch</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58/2025/TT-BKHCN</w:t>
            </w:r>
          </w:p>
        </w:tc>
        <w:tc>
          <w:p/>
          <w:p>
            <w:pPr>
              <w:spacing w:after="0" w:before="0" w:lineRule="auto" w:line="276"/>
              <w:jc w:val="left"/>
            </w:pPr>
            <w:r>
              <w:rPr>
                <w:rFonts w:ascii="Times New Roman" w:hAnsi="Times New Roman" w:cs="Times New Roman" w:eastAsia="Times New Roman"/>
                <w:b w:val="false"/>
                <w:sz w:val="26"/>
              </w:rPr>
              <w:t>Sửa đổi, bổ sung một số Thông tư để cắt giảm, đơn giản hóa thủ tục hành chính liên quan đến hoạt động sản xuất, kinh doanh thuộc phạm vi quản lý của Bộ Khoa học và Công nghệ</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Ban quản lý đầu tư và phát triển dự án - 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nộp đơn có Giấy chứng nhận đăng ký doanh nghiệp, Giấy chứng nhận đăng ký đầu tư hoặc Quyết định thành lập hợp pháp.
- Giấy chứng nhận được cấp lại, cấp đổi áp dụng đối với trường hợp tổ chức, cá nhân có giấy chứng nhận còn hiệu lực nhưng bị mất, hư hỏng hoặc thay đổi tên, địa chỉ của tổ chức, cá nhân.
- Nộp phí cấp và phí duy trì quyền sử dụng mã số, mã vạch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quyền sử dụng mã số, mã vạch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2026-05-27T19:39:14Z</dcterms:created>
  <dc:creator>Apache POI</dc:creator>
</cp:coreProperties>
</file>