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4488/QĐ-BTC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sử dụng tài khoản và mẫu dấu, mẫu chữ ký; bổ sung tài khoản; thay đổi hồ sơ pháp lý, mẫu dấu, mẫu chữ ký của cá nhân, đơn vị giao dịch tại Kho bạc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 bạc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Cá nhân, đơn vị giao dịch thuộc đối tượng mở tài khoản tại Kho bạc Nhà nước gửi hồ sơ theo quy định tại Thành phần, số lượng hồ sơ thủ tục này đến Kho bạc Nhà nước.</w:t>
      </w:r>
    </w:p>
    <w:p>
      <w:pPr>
        <w:spacing w:after="0" w:before="0" w:lineRule="auto" w:line="276"/>
        <w:jc w:val="both"/>
      </w:pPr>
      <w:r>
        <w:rPr>
          <w:rFonts w:ascii="Times New Roman" w:hAnsi="Times New Roman" w:cs="Times New Roman" w:eastAsia="Times New Roman"/>
          <w:b w:val="false"/>
          <w:sz w:val="26"/>
        </w:rPr>
        <w:t>b) Kho bạc Nhà nước kiểm tra tính hợp lệ của hồ sơ theo quy định tại khoản 4 Điều 3 Nghị định số 347/2025/NĐ-CP ngày 29 tháng 12 năm 2025 của Chính phủ quy định về thủ tục hành chính thuộc lĩnh vực Kho bạc Nhà nước.</w:t>
      </w:r>
    </w:p>
    <w:p>
      <w:pPr>
        <w:spacing w:after="0" w:before="0" w:lineRule="auto" w:line="276"/>
        <w:jc w:val="both"/>
      </w:pPr>
      <w:r>
        <w:rPr>
          <w:rFonts w:ascii="Times New Roman" w:hAnsi="Times New Roman" w:cs="Times New Roman" w:eastAsia="Times New Roman"/>
          <w:b w:val="false"/>
          <w:sz w:val="26"/>
        </w:rPr>
        <w:t>c) Sau khi phê duyệt hồ sơ của cá nhân, đơn vị giao dịch, Kho bạc Nhà nước gửi cá nhân, đơn vị giao dịch 01 bản Giấy đăng ký sử dụng tài khoản và mẫu dấu, mẫu chữ ký có xác nhận của Kho bạc Nhà nước và có số tài khoản của cá nhân, đơn vị giao dịch theo quy định của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01 ngày làm việc, kể từ khi Kho bạc Nhà nước nhận được hồ sơ hợp lệ của cá nhân, đơn vị giao dịch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01 ngày làm việc, kể từ khi Kho bạc Nhà nước nhận được hồ sơ hợp lệ của cá nhân, đơn vị giao dịch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01 ngày làm việc, kể từ khi Kho bạc Nhà nước nhận được hồ sơ hợp lệ của cá nhân, đơn vị giao dịch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hồ sơ không được gửi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Số lượng Giấy đăng ký sử dụng tài khoản và mẫu dấu, mẫu chữ ký là 02 bản gốc; số lượng mỗi thành phần hồ sơ quy định tại điểm b, c, d mục Thành phần hồ sơ thủ tục này là 01 bản (bản chính hoặc bản sao 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hồ sơ được gửi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đăng ký sử dụng tài khoản và mẫu dấu, mẫu chữ ký.</w:t>
            </w:r>
          </w:p>
        </w:tc>
        <w:tc>
          <w:p/>
          <w:p>
            <w:pPr>
              <w:spacing w:after="0" w:before="0" w:lineRule="auto" w:line="276"/>
              <w:jc w:val="left"/>
            </w:pPr>
            <w:r>
              <w:rPr>
                <w:rFonts w:ascii="Times New Roman" w:hAnsi="Times New Roman" w:cs="Times New Roman" w:eastAsia="Times New Roman"/>
                <w:b w:val="false"/>
                <w:sz w:val="26"/>
              </w:rPr>
              <w:t>Mus24.docx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thành lập đơn vị giao dịch hoặc văn bản quy định chức năng, nhiệm vụ, quyền hạn và cơ cấu tổ chức của đơn vị giao dịch do cơ quan có thẩm quyền ban hành theo quy định của pháp luật; văn bản phê duyệt dự án hoặc giao quản lý dự án, giao nhiệm vụ chủ đầu tư đối với Ban Quản lý dự án; Giấy chứng nhận đăng ký kinh doanh đối với doanh nghiệp tư nhân (trường hợp đơn vị giao dịch đăng ký sử dụng tài khoản lần đầu hoặc khi có sự thay đổi về thành phần hồ sơ này), trừ các cơ quan của Đảng Cộng sản Việt Nam, Văn phòng Chủ tịch nước, Văn phòng Quốc hội, Văn phòng Chính phủ, các bộ, cơ quan ngang bộ, cơ quan thuộc Chính phủ, Ủy ban Mặt trận Tổ quốc Việt Nam, các tổ chức chính trị - xã hội các cấp, Văn phòng Ủy ban nhân dân cấp tỉnh, Văn phòng Hội đồng nhân dân và Ủy ban nhân dân cấp xã, các đơn vị thuộc khối Quốc phòng, An ninh.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bổ nhiệm chức vụ của chủ tài khoản hoặc văn bản công nhận người đứng đầu đơn vị giao dịch (trường hợp đơn vị giao dịch đăng ký sử dụng tài khoản lần đầu; đăng ký bổ sung tài khoản mà chủ tài khoản thay đổi so với thông tin trên hồ sơ đăng ký sử dụng tài khoản còn hiệu lực tại Kho bạc Nhà nước; thay đổi chủ tài khoản; có văn bản bổ nhiệm lại chức vụ của chủ tài khoản hoặc ban hành mới văn bản công nhận người đứng đầu đơn vị giao dịch), trừ Văn phòng Ủy ban nhân dân cấp tỉnh, Văn phòng Hội đồng nhân dân và Ủy ban nhân dân cấp xã, các đơn vị thuộc khối Quốc phòng, An ninh.  Trường hợp thủ trưởng đơn vị giao dịch ủy quyền hoặc phân công nhiệm vụ cho cấp phó/cấp dưới làm chủ tài khoản thì chỉ cần gửi văn bản bổ nhiệm chức vụ của cấp phó và văn bản ủy quyền hoặc phân công nhiệm vụ của thủ trưởng đơn vị cho cấp phó/cấp dưới. Trường hợp thủ trưởng đơn vị giao dịch phân công cho cấp phó phụ trách theo từng khu vực đối với các đơn vị có đặc thù riêng về cơ cấu tổ chức, chức năng, nhiệm vụ, quyền hạn, được pháp luật cho phép đặt trụ sở văn phòng đại diện tại các khu vực (có con dấu riêng, chịu trách nhiệm quyết toán kinh phí ngân sách như một đơn vị độc lập) thì khi đăng ký sử dụng tài khoản cho văn phòng đại diện tại khu vực, chỉ cần gửi văn bản phân công của thủ trưởng đơn vị giao dịch cho cấp phó phụ trách khu vực.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bổ nhiệm Kế toán trưởng/phụ trách kế toán của cấp có thẩm quyền hoặc hợp đồng/văn bản giao nhiệm vụ Kế toán trưởng/phụ trách kế toán hoặc văn bản phân công người phụ trách kế toán hoặc văn bản giao nhiệm vụ/phân công ký chức danh Kế toán trưởng trên chứng từ kế toán giao dịch với Kho bạc Nhà nước của đơn vị giao dịch (trường hợp đơn vị giao dịch đăng ký sử dụng tài khoản lần đầu; bổ sung tài khoản mà người ký chức danh Kế toán trưởng thay đổi so với thông tin trên hồ sơ đăng ký sử dụng tài khoản còn hiệu lực tại Kho bạc Nhà nước; thay đổi Kế toán trưởng/phụ trách kế toán hoặc ban hành mới văn bản giao nhiệm vụ Kế toán trưởng, văn bản phân công người phụ trách kế toán, văn bản giao nhiệm vụ/phân công ký chức danh Kế toán trưởng trên chứng từ kế toán giao dịch với Kho bạc Nhà nước), trừ cơ quan thu ngân sách và các đơn vị thuộc khối Quốc phòng, An ninh không có Kế toán trưởng/phụ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 nhân: 01 bản sao điện tử Giấy đăng ký sử dụng tài khoản và mẫu dấu, mẫu chữ ký;  Đối với đơn vị giao dịch: số lượng mỗi thành phần hồ sơ quy định tại mục Thành phần hồ sơ thủ tục này là 01 bản được ký số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Kho bạc nhà nước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sử dụng tài khoản và mẫu dấu, mẫu chữ ký có xác nhận của Kho bạc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347/2025/NĐ-CP</w:t>
            </w:r>
          </w:p>
        </w:tc>
        <w:tc>
          <w:p/>
          <w:p>
            <w:pPr>
              <w:spacing w:after="0" w:before="0" w:lineRule="auto" w:line="276"/>
              <w:jc w:val="left"/>
            </w:pPr>
            <w:r>
              <w:rPr>
                <w:rFonts w:ascii="Times New Roman" w:hAnsi="Times New Roman" w:cs="Times New Roman" w:eastAsia="Times New Roman"/>
                <w:b w:val="false"/>
                <w:sz w:val="26"/>
              </w:rPr>
              <w:t>Nghị định số 347/2025/NĐ-CP của Chính phủ: Quy định về thủ tục hành chính thuộc lĩnh vực Kho bạc Nhà nước</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2026-05-20T04:52:32Z</dcterms:created>
  <dc:creator>Apache POI</dc:creator>
</cp:coreProperties>
</file>