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1.001522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1328/QĐ-BTP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Bổ nhiệm lại đối với lãnh đạo cấp Phòng thuộc Cục Thi hành án dân sự</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hành án dân sự</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Lãnh đạo cấp Phòng thuộc Cục THADS phải làm báo cáo tự nhận xét, đánh giá trong thời gian giữ chức vụ lãnh đạo, quản lý.</w:t>
      </w:r>
    </w:p>
    <w:p>
      <w:pPr>
        <w:spacing w:after="0" w:before="0" w:lineRule="auto" w:line="276"/>
        <w:jc w:val="both"/>
      </w:pPr>
      <w:r>
        <w:rPr>
          <w:rFonts w:ascii="Times New Roman" w:hAnsi="Times New Roman" w:cs="Times New Roman" w:eastAsia="Times New Roman"/>
          <w:b w:val="false"/>
          <w:sz w:val="26"/>
        </w:rPr>
        <w:t>Bước 2: Cục trưởng tổ chức Hội nghị toàn thể công chức, viên chức, người lao động  để lấy ý kiến nhận xét và bỏ phiếu tín nhiệm đối với công chức, viên chức dự kiến bổ nhiệm lại.</w:t>
      </w:r>
    </w:p>
    <w:p>
      <w:pPr>
        <w:spacing w:after="0" w:before="0" w:lineRule="auto" w:line="276"/>
        <w:jc w:val="both"/>
      </w:pPr>
      <w:r>
        <w:rPr>
          <w:rFonts w:ascii="Times New Roman" w:hAnsi="Times New Roman" w:cs="Times New Roman" w:eastAsia="Times New Roman"/>
          <w:b w:val="false"/>
          <w:sz w:val="26"/>
        </w:rPr>
        <w:t>Bước 3: Sau Hội nghị toàn thể công chức, viên chức, người lao động, Cục trưởng tổ chức Hội nghị cán bộ chủ chốt để nhận xét, đánh giá và lấy phiếu tín nhiệm đối với công chức, viên chức dự kiến bổ nhiệm lại. Tập thể lãnh đạo Cục, lãnh đạo cấp Phòng thuộc Cục, cấp ủy Cục, đại diện các tổ chức chính trị - xã hội cơ quan Cục. Hội nghị mời đại diện cơ quan có thẩm quyền quản lý cán bộ ở cấp tỉnh tham dự.</w:t>
      </w:r>
    </w:p>
    <w:p>
      <w:pPr>
        <w:spacing w:after="0" w:before="0" w:lineRule="auto" w:line="276"/>
        <w:jc w:val="both"/>
      </w:pPr>
      <w:r>
        <w:rPr>
          <w:rFonts w:ascii="Times New Roman" w:hAnsi="Times New Roman" w:cs="Times New Roman" w:eastAsia="Times New Roman"/>
          <w:b w:val="false"/>
          <w:sz w:val="26"/>
        </w:rPr>
        <w:t>Bước 4: Cục trưởng đánh giá và đề xuất ý kiến bổ nhiệm lại hoặc không bổ nhiệm lại.</w:t>
      </w:r>
    </w:p>
    <w:p>
      <w:pPr>
        <w:spacing w:after="0" w:before="0" w:lineRule="auto" w:line="276"/>
        <w:jc w:val="both"/>
      </w:pPr>
      <w:r>
        <w:rPr>
          <w:rFonts w:ascii="Times New Roman" w:hAnsi="Times New Roman" w:cs="Times New Roman" w:eastAsia="Times New Roman"/>
          <w:b w:val="false"/>
          <w:sz w:val="26"/>
        </w:rPr>
        <w:t>Bước 5: Tập thể lãnh đạo Cục xem xét, kết luận những vấn đề mới phát sinh (nếu có) và lấy ý kiến bằng văn bản của cấp uỷ Cục về nhân sự đề nghị bổ nhiệm lại.</w:t>
      </w:r>
    </w:p>
    <w:p>
      <w:pPr>
        <w:spacing w:after="0" w:before="0" w:lineRule="auto" w:line="276"/>
        <w:jc w:val="both"/>
      </w:pPr>
      <w:r>
        <w:rPr>
          <w:rFonts w:ascii="Times New Roman" w:hAnsi="Times New Roman" w:cs="Times New Roman" w:eastAsia="Times New Roman"/>
          <w:b w:val="false"/>
          <w:sz w:val="26"/>
        </w:rPr>
        <w:t>Bước 6: Tập thể Lãnh đạo Cục thảo luận, biểu quyết nhân sự. Nhân sự được đề nghị bổ nhiệm lại phải được đa số tập thể lãnh đạo Cục đồng ý.</w:t>
      </w:r>
    </w:p>
    <w:p>
      <w:pPr>
        <w:spacing w:after="0" w:before="0" w:lineRule="auto" w:line="276"/>
        <w:jc w:val="both"/>
      </w:pPr>
      <w:r>
        <w:rPr>
          <w:rFonts w:ascii="Times New Roman" w:hAnsi="Times New Roman" w:cs="Times New Roman" w:eastAsia="Times New Roman"/>
          <w:b w:val="false"/>
          <w:sz w:val="26"/>
        </w:rPr>
        <w:t>Bước 7: Cục trưởng quyết định bổ nhiệm lại lãnh đạo cấp Phòng thuộc Cục.</w:t>
      </w:r>
    </w:p>
    <w:p>
      <w:pPr>
        <w:spacing w:after="0" w:before="0" w:lineRule="auto" w:line="276"/>
        <w:jc w:val="both"/>
      </w:pPr>
      <w:r>
        <w:rPr>
          <w:rFonts w:ascii="Times New Roman" w:hAnsi="Times New Roman" w:cs="Times New Roman" w:eastAsia="Times New Roman"/>
          <w:b w:val="false"/>
          <w:sz w:val="26"/>
        </w:rPr>
        <w:t xml:space="preserve">Bước 8: Cục trưởng tổ chức công bố quyết định bổ nhiệm lại lãnh đạo cấp Phòng thuộc Cục.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Chậm nhất là 90 ngày tính đến ngày hết thời hạn giữ chức vụ lãnh đạo theo quy định, cấp có thẩm quyền theo phân cấp quản lý công chức, viên chức phải thực hiện các quy trình, thủ tục bổ nhiệm lại. Quyết định bổ nhiệm lại công chức, viên chức giữ chức vụ lãnh đạo phải được thực hiện trước ít nhất 01 ngày làm việc, tính đến ngày hết thời hạn bổ nhiệm. Trường hợp vì lý do khách quan mà chưa thực hiện xong thì cấp có thẩm quyền quyết định việc kéo dài thời gian thực hiện nhiệm vụ.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Nhận xét của cấp ủy nơi công chức, viên chức cư trú thường xuyên đối với nhân sự là Đảng viên được đề nghị bổ nhiệm lại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đánh giá công chức, viên chức tại thời điểm bổ nhiệm lại theo các nội dung quy định tại Điều 56 Luật cán bộ, công chức, Điều 41 Luật Viên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cho ý kiến của cấp ủy Cục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sức khoẻ do bệnh viện đa khoa cấp huyện trở lên cấp còn trong thời hạn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kiểm phiếu các hội nghị theo quy định</w:t>
            </w:r>
          </w:p>
        </w:tc>
        <w:tc>
          <w:p/>
          <w:p>
            <w:pPr>
              <w:spacing w:after="0" w:before="0" w:lineRule="auto" w:line="276"/>
              <w:jc w:val="left"/>
            </w:pPr>
            <w:r>
              <w:rPr>
                <w:rFonts w:ascii="Times New Roman" w:hAnsi="Times New Roman" w:cs="Times New Roman" w:eastAsia="Times New Roman"/>
                <w:b w:val="false"/>
                <w:sz w:val="26"/>
              </w:rPr>
              <w:t>Mẫu số 05.BNCB.docx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trình đề nghị bổ nhiệm lại</w:t>
            </w:r>
          </w:p>
        </w:tc>
        <w:tc>
          <w:p/>
          <w:p>
            <w:pPr>
              <w:spacing w:after="0" w:before="0" w:lineRule="auto" w:line="276"/>
              <w:jc w:val="left"/>
            </w:pPr>
            <w:r>
              <w:rPr>
                <w:rFonts w:ascii="Times New Roman" w:hAnsi="Times New Roman" w:cs="Times New Roman" w:eastAsia="Times New Roman"/>
                <w:b w:val="false"/>
                <w:sz w:val="26"/>
              </w:rPr>
              <w:t>Mẫu số 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về chủ trương bổ nhiệm lại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họp các hội nghị theo quy định</w:t>
            </w:r>
          </w:p>
        </w:tc>
        <w:tc>
          <w:p/>
          <w:p>
            <w:pPr>
              <w:spacing w:after="0" w:before="0" w:lineRule="auto" w:line="276"/>
              <w:jc w:val="left"/>
            </w:pPr>
            <w:r>
              <w:rPr>
                <w:rFonts w:ascii="Times New Roman" w:hAnsi="Times New Roman" w:cs="Times New Roman" w:eastAsia="Times New Roman"/>
                <w:b w:val="false"/>
                <w:sz w:val="26"/>
              </w:rPr>
              <w:t>Mẫu số 02.BNCB.docx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yếu lý lịch theo mẫu quy định của Bộ Nội vụ; đề án hoặc chương trình hành động của người được đề nghị bổ nhiệm lại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các văn bằng, chứng chỉ đào tạo, bồi dưỡng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kê khai tài sản theo mẫu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Thi hành án dân sự</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bổ nhiệm lại lãnh đạo cấp Phòng thuộc Cục THADS.</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12/VBHN-VPQH</w:t>
            </w:r>
          </w:p>
        </w:tc>
        <w:tc>
          <w:p/>
          <w:p>
            <w:pPr>
              <w:spacing w:after="0" w:before="0" w:lineRule="auto" w:line="276"/>
              <w:jc w:val="left"/>
            </w:pPr>
            <w:r>
              <w:rPr>
                <w:rFonts w:ascii="Times New Roman" w:hAnsi="Times New Roman" w:cs="Times New Roman" w:eastAsia="Times New Roman"/>
                <w:b w:val="false"/>
                <w:sz w:val="26"/>
              </w:rPr>
              <w:t>Luật 12/VBHN-VPQH</w:t>
            </w:r>
          </w:p>
        </w:tc>
        <w:tc>
          <w:p/>
          <w:p>
            <w:pPr>
              <w:spacing w:after="0" w:before="0" w:lineRule="auto" w:line="276"/>
              <w:jc w:val="left"/>
            </w:pPr>
            <w:r>
              <w:rPr>
                <w:rFonts w:ascii="Times New Roman" w:hAnsi="Times New Roman" w:cs="Times New Roman" w:eastAsia="Times New Roman"/>
                <w:b w:val="false"/>
                <w:sz w:val="26"/>
              </w:rPr>
              <w:t>11-12-2014</w:t>
            </w:r>
          </w:p>
        </w:tc>
        <w:tc>
          <w:p/>
          <w:p>
            <w:pPr>
              <w:spacing w:after="0" w:before="0" w:lineRule="auto" w:line="276"/>
              <w:jc w:val="left"/>
            </w:pPr>
            <w:r>
              <w:rPr>
                <w:rFonts w:ascii="Times New Roman" w:hAnsi="Times New Roman" w:cs="Times New Roman" w:eastAsia="Times New Roman"/>
                <w:b w:val="false"/>
                <w:sz w:val="26"/>
              </w:rPr>
              <w:t>Văn phòng Quốc hội</w:t>
            </w:r>
          </w:p>
        </w:tc>
      </w:tr>
      <w:tr>
        <w:tc>
          <w:p/>
          <w:p>
            <w:pPr>
              <w:spacing w:after="0" w:before="0" w:lineRule="auto" w:line="276"/>
              <w:jc w:val="left"/>
            </w:pPr>
            <w:r>
              <w:rPr>
                <w:rFonts w:ascii="Times New Roman" w:hAnsi="Times New Roman" w:cs="Times New Roman" w:eastAsia="Times New Roman"/>
                <w:b w:val="false"/>
                <w:sz w:val="26"/>
              </w:rPr>
              <w:t>62/2015/NĐ-CP</w:t>
            </w:r>
          </w:p>
        </w:tc>
        <w:tc>
          <w:p/>
          <w:p>
            <w:pPr>
              <w:spacing w:after="0" w:before="0" w:lineRule="auto" w:line="276"/>
              <w:jc w:val="left"/>
            </w:pPr>
            <w:r>
              <w:rPr>
                <w:rFonts w:ascii="Times New Roman" w:hAnsi="Times New Roman" w:cs="Times New Roman" w:eastAsia="Times New Roman"/>
                <w:b w:val="false"/>
                <w:sz w:val="26"/>
              </w:rPr>
              <w:t>Nghị định 62/2015/NĐ-CP</w:t>
            </w:r>
          </w:p>
        </w:tc>
        <w:tc>
          <w:p/>
          <w:p>
            <w:pPr>
              <w:spacing w:after="0" w:before="0" w:lineRule="auto" w:line="276"/>
              <w:jc w:val="left"/>
            </w:pPr>
            <w:r>
              <w:rPr>
                <w:rFonts w:ascii="Times New Roman" w:hAnsi="Times New Roman" w:cs="Times New Roman" w:eastAsia="Times New Roman"/>
                <w:b w:val="false"/>
                <w:sz w:val="26"/>
              </w:rPr>
              <w:t>18-07-2015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02/2017/TT-BTP</w:t>
            </w:r>
          </w:p>
        </w:tc>
        <w:tc>
          <w:p/>
          <w:p>
            <w:pPr>
              <w:spacing w:after="0" w:before="0" w:lineRule="auto" w:line="276"/>
              <w:jc w:val="left"/>
            </w:pPr>
            <w:r>
              <w:rPr>
                <w:rFonts w:ascii="Times New Roman" w:hAnsi="Times New Roman" w:cs="Times New Roman" w:eastAsia="Times New Roman"/>
                <w:b w:val="false"/>
                <w:sz w:val="26"/>
              </w:rPr>
              <w:t>Thông tư 02/2017/TT-BTP</w:t>
            </w:r>
          </w:p>
        </w:tc>
        <w:tc>
          <w:p/>
          <w:p>
            <w:pPr>
              <w:spacing w:after="0" w:before="0" w:lineRule="auto" w:line="276"/>
              <w:jc w:val="left"/>
            </w:pPr>
            <w:r>
              <w:rPr>
                <w:rFonts w:ascii="Times New Roman" w:hAnsi="Times New Roman" w:cs="Times New Roman" w:eastAsia="Times New Roman"/>
                <w:b w:val="false"/>
                <w:sz w:val="26"/>
              </w:rPr>
              <w:t>23-03-2017</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09/2015/TT-BTP</w:t>
            </w:r>
          </w:p>
        </w:tc>
        <w:tc>
          <w:p/>
          <w:p>
            <w:pPr>
              <w:spacing w:after="0" w:before="0" w:lineRule="auto" w:line="276"/>
              <w:jc w:val="left"/>
            </w:pPr>
            <w:r>
              <w:rPr>
                <w:rFonts w:ascii="Times New Roman" w:hAnsi="Times New Roman" w:cs="Times New Roman" w:eastAsia="Times New Roman"/>
                <w:b w:val="false"/>
                <w:sz w:val="26"/>
              </w:rPr>
              <w:t>Thông tư 09/2015/TT-BTP</w:t>
            </w:r>
          </w:p>
        </w:tc>
        <w:tc>
          <w:p/>
          <w:p>
            <w:pPr>
              <w:spacing w:after="0" w:before="0" w:lineRule="auto" w:line="276"/>
              <w:jc w:val="left"/>
            </w:pPr>
            <w:r>
              <w:rPr>
                <w:rFonts w:ascii="Times New Roman" w:hAnsi="Times New Roman" w:cs="Times New Roman" w:eastAsia="Times New Roman"/>
                <w:b w:val="false"/>
                <w:sz w:val="26"/>
              </w:rPr>
              <w:t>26-06-2015</w:t>
            </w:r>
          </w:p>
        </w:tc>
        <w:tc>
          <w:p/>
          <w:p>
            <w:pPr>
              <w:spacing w:after="0" w:before="0" w:lineRule="auto" w:line="276"/>
              <w:jc w:val="left"/>
            </w:pPr>
            <w:r>
              <w:rPr>
                <w:rFonts w:ascii="Times New Roman" w:hAnsi="Times New Roman" w:cs="Times New Roman" w:eastAsia="Times New Roman"/>
                <w:b w:val="false"/>
                <w:sz w:val="26"/>
              </w:rPr>
              <w:t>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để bổ nhiệm lại:
- Hoàn thành nhiệm vụ trong thời gian giữ chức vụ lãnh đạo, quản lý.
- Không có công chức cấp dưới có sai phạm nghiêm trọng liên quan trực tiếp đến phạm vi quản lý, chỉ đạo, điều hành trong thời gian giữ chức vụ lãnh đạo, quản lý.
- Đáp ứng tiêu chuẩn chức danh lãnh đạo được quy định tại thời điểm xem xét, bổ nhiệm lại và yêu cầu công tác trong thời gian tiếp theo.
- Đủ sức khoẻ để hoàn thành nhiệm vụ và chức trách được giao.          
- Cơ quan, đơn vị có nhu cầu.
- Chưa đảm nhiệm đủ thời gian hai nhiệm kỳ liên tiếp chức vụ lãnh đạo, quản lý đang được xem xét bổ nhiệm lại; trường hợp đặc biệt do Bộ trưởng Bộ Tư pháp xem xét, quyết định.
- Bảo đảm các điều kiện khác theo quy định của Đảng và Nhà nước về công tác cán bộ.</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2026-05-20T05:05:31Z</dcterms:created>
  <dc:creator>Apache POI</dc:creator>
</cp:coreProperties>
</file>