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xóa đăng ký cho thuê, cho thuê lại, góp vốn bằng quyền sử dụng đất, quyền sở hữu tài sản gắn liền với đất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Trực tiếp
(!)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(3) Một trong các bên hoặc các bên ký hợp đồng thuê, thuê lại, hợp đồng góp vốn quyền sử dụng đất, quyền sở hữu tài sản gắn liền với đất chuẩn bị và nộp đầy đủ hồ sơ theo quy định.
Trường hợp nhận hồ sơ chưa đầy đủ, chưa hợp lệ thì trong thời gian tối đa 03 ngày làm việc, cơ quan tiếp nhận, xử lý hồ sơ phải thông báo và hướng dẫn người nộp hồ sơ bổ sung, hoàn chỉnh hồ sơ theo quy định. 
(4) Cơ quan tiếp nhận hồ sơ nhập đầy đủ thông tin vào Hệ thống thông tin giải quyết TTHC, in Phiếu tiếp nhận hồ sơ và trả kết quả cho người nộp hồ sơ.
Trường hợp nộp hồ sơ tại Ủy ban nhân dân cấp xã thì trong thời hạn 03 ngày làm việc kể từ ngày nhận đủ hồ sơ, Ủy ban nhân dân cấp xã phải chuyển hồ sơ đến Chi nhánh Văn phòng đăng ký đất đai. 
- Kể từ ngày nhận đủ hồ sơ hợp lệ, Chi nhánh Văn phòng Đăng ký đất đai có trách nhiệm kiểm tra hồ sơ, nếu phù hợp quy định của pháp luật thì thực hiện các công việc sau:
+ Xác nhận việc xóa cho thuê, cho thuê lại, xóa góp vốn vào Giấy chứng nhận theo quy định và trao cho bên cho thuê, cho thuê lại, bên góp vốn. Trường hợp cho thuê, cho thuê lại đất trong khu công nghiệp và trường hợp góp vốn bằng quyền sử dụng đất mà đã cấp Giấy chứng nhận cho bên thuê, thuê lại đất, bên nhận góp vốn thì thu hồi Giấy chứng nhận đã cấp; bên nhận góp vốn được cấp lại Giấy chứng nhận quyền sử dụng đất, quyền sở hữu nhà ở và tài sản khác gắn liền với đất.
+ Trường hợp thời điểm hết thời hạn sử dụng đất trùng với thời điểm xóa cho thuê, cho thuê lại đất, xóa góp vốn bằng quyền sử dụng đất nếu người sử dụng đất không có nhu cầu tiếp tục sử dụng đất hoặc không được cơ quan nhà nước có thẩm quyền gia hạn sử dụng đất thì thu hồi Giấy chứng nhận đã cấp.
+ Thực hiện việc xóa đăng ký cho thuê, cho thuê lại, xóa góp vốn vào hồ sơ địa chính, cơ sở dữ liệu đất đai.
+ Trả kết quả về Bộ phận Tiếp nhận và trả kết quả để trao Giấy chứng nhận cho người đăng ký hoặc gửi Ủy ban nhân dân cấp xã để trao đối với trường hợp nộp hồ sơ tại cấp xã.
b. Thực hiện thủ tục trên môi trường điện tử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TT2.docx</w:t>
            </w:r>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TT2.docx</w:t>
            </w:r>
          </w:p>
        </w:tc>
        <w:tc>
          <w:p/>
          <w:p>
            <w:pPr>
              <w:spacing w:after="0" w:before="0" w:lineRule="auto" w:line="276"/>
              <w:jc w:val="left"/>
            </w:pPr>
            <w:r>
              <w:rPr>
                <w:rFonts w:ascii="Times New Roman" w:hAnsi="Times New Roman" w:cs="Times New Roman" w:eastAsia="Times New Roman"/>
                <w:b w:val="false"/>
                <w:sz w:val="26"/>
              </w:rPr>
              <w:t>03 ngày làm việc tại Chi nhánh Văn phòng Đăng ký đất đai, kể từ ngày nhận đủ hồ sơ hợp lệ.
Thời gian này không tính thời gian tiếp nhận hồ sơ tại cấp xã; không tính các ngày nghỉ, ngày lễ theo quy định của pháp luật;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có biểu đính kèm </w:t>
              <w:br/>
              <w:t>File đính kèm: Biểu phí, lệ phí TT2 (1).docx</w:t>
            </w:r>
          </w:p>
          <w:p>
            <w:pPr>
              <w:spacing w:after="0" w:before="0" w:lineRule="auto" w:line="276"/>
              <w:jc w:val="left"/>
            </w:pPr>
            <w:r>
              <w:rPr>
                <w:rFonts w:ascii="Times New Roman" w:hAnsi="Times New Roman" w:cs="Times New Roman" w:eastAsia="Times New Roman"/>
                <w:b w:val="false"/>
                <w:sz w:val="26"/>
              </w:rPr>
              <w:t xml:space="preserve">Lệ phí : có biểu đính kèm </w:t>
              <w:br/>
              <w:t>File đính kèm: Biểu phí, lệ phí TT2 (1).docx</w:t>
            </w:r>
          </w:p>
        </w:tc>
        <w:tc>
          <w:p/>
          <w:p>
            <w:pPr>
              <w:spacing w:after="0" w:before="0" w:lineRule="auto" w:line="276"/>
              <w:jc w:val="left"/>
            </w:pPr>
            <w:r>
              <w:rPr>
                <w:rFonts w:ascii="Times New Roman" w:hAnsi="Times New Roman" w:cs="Times New Roman" w:eastAsia="Times New Roman"/>
                <w:b w:val="false"/>
                <w:sz w:val="26"/>
              </w:rPr>
              <w:t>03 ngày làm việc tại Chi nhánh Văn phòng Đăng ký đất đai, kể từ ngày nhận đủ hồ sơ hợp lệ.
Thời gian này không tính thời gian tiếp nhận hồ sơ tại cấp xã; không tính các ngày nghỉ, ngày lễ theo quy định của pháp luật;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TT2.docx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TT2.docx</w:t>
            </w:r>
          </w:p>
        </w:tc>
        <w:tc>
          <w:p/>
          <w:p>
            <w:pPr>
              <w:spacing w:after="0" w:before="0" w:lineRule="auto" w:line="276"/>
              <w:jc w:val="left"/>
            </w:pPr>
            <w:r>
              <w:rPr>
                <w:rFonts w:ascii="Times New Roman" w:hAnsi="Times New Roman" w:cs="Times New Roman" w:eastAsia="Times New Roman"/>
                <w:b w:val="false"/>
                <w:sz w:val="26"/>
              </w:rPr>
              <w:t>03 ngày làm việc tại Chi nhánh Văn phòng Đăng ký đất đai, kể từ ngày nhận đủ hồ sơ hợp lệ.
Thời gian này không tính thời gian tiếp nhận hồ sơ tại cấp xã; không tính các ngày nghỉ, ngày lễ theo quy định của pháp luật;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xoá đăng ký cho thuê, cho thuê lại, góp vốn bằng quyền sử dụng đất, quyền sở hữu tài sẩn gắn liền với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thanh lý hợp đồng cho thuê, cho thuê lại, góp vốn bằng quyền sử dụng đất, tài sản gắn liền với đất hoặc hợp đồng cho thuê, cho thuê lại, góp vốn bằng quyền sử dụng đất, tài sản gắn liền với đất có xác nhận đã được thanh lý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 đối với trường hợp cho thuê, cho thuê lại quyền sử dụng đất của chủ đầu tư xây dựng hạ tầng trong khu công nghiệp, cụm công nghiệp, khu chế xuất, khu công nghệ cao, khu kinh tế và trường hợp góp vốn bằng quyền sử dụng đất,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cơ sở tôn giáo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03-04-2023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góp vốn bằng quyền sử dụng đất chấm dứt trong các trường hợp sau đây:
-  Hết thời hạn góp vốn bằng quyền sử dụng đất;
- Một bên hoặc các bên đề nghị theo thoả thuận trong hợp đồng góp vốn;
- Bị thu hồi đất theo quy định của Luật Đất đai; 
- Bên góp vốn bằng quyền sử dụng đất trong hợp đồng hợp tác kinh doanh hoặc doanh nghiệp liên doanh bị tuyên bố phá sản, giải thể;
- Cá nhân tham gia hợp đồng góp vốn chết; bị tuyên bố là đã chết; bị mất hoặc hạn chế năng lực hành vi dân sự; bị cấm hoạt động trong lĩnh vực hợp tác kinh doanh mà hợp đồng góp vốn phải do cá nhân đó thực hiện;
- Pháp nhân tham gia hợp đồng góp vốn bị chấm dứt hoạt động mà hợp đồng góp vốn phải do pháp nhân đó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2026-05-23T22:34:13Z</dcterms:created>
  <dc:creator>Apache POI</dc:creator>
</cp:coreProperties>
</file>