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xác lập quyền sử dụng hạn chế thửa đất liền kề sau khi được cấp Giấy chứng nhận lần đầu và đăng ký thay đổi, chấm dứt quyền sử dụng hạn chế thửa đất liền kề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Khi phát sinh, thay đổi, chấm dứt quyền sử dụng hạn chế thửa đất liền kề thì một trong các bên chuẩn bị đầy đủ hồ sơ và nộp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(4) Cơ quan tiếp nhận hồ sơ ghi đầy đủ thông tin vào Sổ tiếp nhận hồ sơ và trả kết quả, trao Phiếu tiếp nhận hồ sơ và trả kết quả cho người nộp hồ sơ.
(5) Kể từ ngày nhận được hồ sơ hợp lệ, Chi nhánh Văn phòng đăng ký đất đai kiểm tra, cập nhật vào hồ sơ địa chính, cơ sở dữ liệu đất đai và thể hiện trên Giấy chứng nhận nếu có nhu cầu.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có biểu đính kèm </w:t>
              <w:br/>
              <w:t>File đính kèm: Biểu phí, lệ phí theo Nghị quyết 289 (3).docx</w:t>
            </w:r>
          </w:p>
          <w:p>
            <w:pPr>
              <w:spacing w:after="0" w:before="0" w:lineRule="auto" w:line="276"/>
              <w:jc w:val="left"/>
            </w:pPr>
            <w:r>
              <w:rPr>
                <w:rFonts w:ascii="Times New Roman" w:hAnsi="Times New Roman" w:cs="Times New Roman" w:eastAsia="Times New Roman"/>
                <w:b w:val="false"/>
                <w:sz w:val="26"/>
              </w:rPr>
              <w:t xml:space="preserve">Lệ phí : có biểu đính kèm </w:t>
              <w:br/>
              <w:t>File đính kèm: Biểu phí, lệ phí theo Nghị quyết 289 (3).docx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10 ngày làm việc tại Chi nhánh Văn phòng Đăng ký đất đai,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của một bên hoặc các bên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thỏa thuận hoặc quyết định của Tòa án nhân dân về việc xác lập hoặc thay đổi, chấm dứt quyền sử dụng hạn chế thửa đất liền kề: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thể hiện vị trí, kích thước phần diện tích thửa đất mà người sử dụng thửa đất liền kề được quyền sử dụng hạn chế: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CMND, số thẻ Căn cước công dân, số định danh cá nhân, địa chỉ trên Giấy chứng nhận đã cấp thì thực hiện như sau:  +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Ủy ban nhân dân cấp Huyện,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 đã xác nhận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 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2026-05-23T22:34:21Z</dcterms:created>
  <dc:creator>Apache POI</dc:creator>
</cp:coreProperties>
</file>