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1.008166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sử dụng đất ngoài khu công nghệ cao, khu kinh tế (Chi nhánh)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Thời gian tiếp nhận và trả kết quả: Trong giờ hành chính các ngày từ thứ 2 đến thứ 6 hàng tuần (trừ các ngày nghỉ Lễ, Tết theo quy định).
(2) Địa điểm tiếp nhận hồ sơ và trả kết quả:
Chi nhánh Văn phòng Đăng ký đất đai tại Bộ phận tiếp nhận và trả kết quả thuộc Văn phòng HĐND và UBND cấp huyện. 
Hộ gia đình, cá nhân, cộng đồng dân cư, người Việt Nam định cư ở nước ngoài được sở hữu nhà ở gắn liền với quyền sử dụng đất ở tại Việt Nam (viết tắt là Hộ gia đình, cá nhân) nộp hồ sơ tại Ủy ban nhân cấp xã nơi có đất nếu có nhu cầu. Ủy ban nhân dân cấp xã có trách nhiệm tiếp nhận hồ sơ và trả kết qua theo quy định. Trong thời hạn 03 ngày làm việc kể từ ngày nhận đủ hồ sơ, Ủy ban nhân dân cấp xã phải chuyển hồ sơ đến Bộ phận tiếp nhận và trả kết quả Chi nhánh Văn phòng Đăng ký đất đai.
(3) Trước khi hết hạn sử dụng đất tối thiểu là 06 tháng hoặc sau khi có văn bản của cơ quan có thẩm quyền về việc điều chỉnh dự án đầu tư đối với trường hợp điều chỉnh dự án đầu tư mà có thay đổi thời hạn hoạt động của dự án thì người sử dụng đất có nhu cầu gia hạn chuẩn bị đầy đủ hồ sơ và nộp theo quy định.
(4) Cơ quan tiếp nhận hồ sơ nhập đầy đủ thông tin vào Hệ thống thông tin giải quyết TTHC, in Phiếu tiếp nhận hồ sơ và trả kết quả cho người nộp hồ sơ.
Trường hợp nhận hồ sơ chưa đầy đủ, chưa hợp lệ thì trong thời gian tối đa 03 ngày làm việc, cơ quan tiếp nhận, xử lý hồ sơ phải thông báo và hướng dẫn người nộp hồ sơ bổ sung, hoàn chỉnh hồ sơ theo quy định. 
(5) Phòng Tài nguyên và Môi trường có trách nhiệm thẩm định nhu cầu sử dụng đất, trường hợp đủ điều kiện được gia hạn thì chuyển Chi nhánh Văn phòng Đăng ký đất đai gửi thông tin địa chính cho Cơ quan thuế để xác định nghĩa vụ tài chính; trình Uỷ ban nhân dân cùng cấp quyết định gia hạn quyền sử dụng đất; ký hợp đồng thuê đất đối với trường hợp thuê đất; chuyển hồ sơ và Giấy chứng nhận đã cấp cho Chi nhánh Văn phòng Đăng ký đất đai để thực hiện đăng ký.
- Người sử dụng đất nộp Giấy chứng nhận đã cấp, chứng từ chứng minh đã thực hiện xong nghĩa vụ tài chính đối với trường hợp được gia hạn sử dụng đất cho Phòng Tài nguyên và Môi trường;
- Chi nhánh Văn phòng Đăng ký đất đaicó trách nhiệm xác nhận gia hạn sử dụng đất vào Giấy chứng nhận đã cấp; cập nhật biến động vào hồ sơ địa chính, cơ sở dữ liệu đất đai;trao Giấy chứng nhận cho người được cấp hoặc gửi Ủy ban nhân dân cấp xã để trao đối với trường hợp nộp hồ sơ tại cấp xã.
Đối với những trường hợp không đủ điều kiện được gia hạn sử dụng đất thì cơ quan tài nguyên và môi trường thông báo cho người sử dụng đất và làm thủ tục thu hồi đất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biểu đính kèm)</w:t>
              <w:br/>
              <w:t>File đính kèm: Biểu phí, lệ phí theo Nghị quyết 289.docx</w:t>
            </w:r>
          </w:p>
          <w:p>
            <w:pPr>
              <w:spacing w:after="0" w:before="0" w:lineRule="auto" w:line="276"/>
              <w:jc w:val="left"/>
            </w:pPr>
            <w:r>
              <w:rPr>
                <w:rFonts w:ascii="Times New Roman" w:hAnsi="Times New Roman" w:cs="Times New Roman" w:eastAsia="Times New Roman"/>
                <w:b w:val="false"/>
                <w:sz w:val="26"/>
              </w:rPr>
              <w:t xml:space="preserve">Lệ phí :  </w:t>
              <w:t xml:space="preserve"> (Theo biểu đính kèm)</w:t>
              <w:br/>
              <w:t>File đính kèm: Biểu phí, lệ phí theo Nghị quyết 289.docx</w:t>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hợp lệ, 
Thời gian này không tính thời gian các ngày nghỉ, ngày lễ theo quy định của pháp luật; không tính thời gian tiếp nhận, thời gian Ủy ban nhân dân cấp xã thực hiện các công việc theo quy định; không tính thời gian ký Hợp đồng thuê đất và cấp mới Giấy chứng nhận;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Kết quả giải quyết thủ tục hành chính phải trả cho người sử dụng đất, chủ sở hữu tài sản gắn liền với đất trong thời hạn không quá 03 ngày làm việc kể từ ngày có kết quả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biểu đính kèm)</w:t>
              <w:br/>
              <w:t>File đính kèm: Biểu phí, lệ phí theo Nghị quyết 289.docx</w:t>
            </w:r>
          </w:p>
          <w:p>
            <w:pPr>
              <w:spacing w:after="0" w:before="0" w:lineRule="auto" w:line="276"/>
              <w:jc w:val="left"/>
            </w:pPr>
            <w:r>
              <w:rPr>
                <w:rFonts w:ascii="Times New Roman" w:hAnsi="Times New Roman" w:cs="Times New Roman" w:eastAsia="Times New Roman"/>
                <w:b w:val="false"/>
                <w:sz w:val="26"/>
              </w:rPr>
              <w:t xml:space="preserve">Lệ phí :  </w:t>
              <w:t xml:space="preserve"> (Theo biểu đính kèm)</w:t>
              <w:br/>
              <w:t>File đính kèm: Biểu phí, lệ phí theo Nghị quyết 289.docx</w:t>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hợp lệ, 
Thời gian này không tính thời gian các ngày nghỉ, ngày lễ theo quy định của pháp luật; không tính thời gian tiếp nhận, thời gian Ủy ban nhân dân cấp xã thực hiện các công việc theo quy định; không tính thời gian ký Hợp đồng thuê đất và cấp mới Giấy chứng nhận;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Kết quả giải quyết thủ tục hành chính phải trả cho người sử dụng đất, chủ sở hữu tài sản gắn liền với đất trong thời hạn không quá 03 ngày làm việc kể từ ngày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Hồ sơ xác định nghĩa vụ tài chính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lệ phí trước bạ: Bản chính;</w:t>
            </w:r>
          </w:p>
        </w:tc>
        <w:tc>
          <w:p/>
          <w:p>
            <w:pPr>
              <w:spacing w:after="0" w:before="0" w:lineRule="auto" w:line="276"/>
              <w:jc w:val="left"/>
            </w:pPr>
            <w:r>
              <w:rPr>
                <w:rFonts w:ascii="Times New Roman" w:hAnsi="Times New Roman" w:cs="Times New Roman" w:eastAsia="Times New Roman"/>
                <w:b w:val="false"/>
                <w:sz w:val="26"/>
              </w:rPr>
              <w:t>lptb (Mẫu số 01LPTB).doc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thuế sử dụng đất phi nông nghiệp (nếu có): Bản chính</w:t>
            </w:r>
          </w:p>
        </w:tc>
        <w:tc>
          <w:p/>
          <w:p>
            <w:pPr>
              <w:spacing w:after="0" w:before="0" w:lineRule="auto" w:line="276"/>
              <w:jc w:val="left"/>
            </w:pPr>
            <w:r>
              <w:rPr>
                <w:rFonts w:ascii="Times New Roman" w:hAnsi="Times New Roman" w:cs="Times New Roman" w:eastAsia="Times New Roman"/>
                <w:b w:val="false"/>
                <w:sz w:val="26"/>
              </w:rPr>
              <w:t>PNN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người sử dụng đất đề nghị được miễn, giảm các khoản nghĩa vụ tài chính về đất đai: Bản chính;</w:t>
            </w:r>
          </w:p>
        </w:tc>
        <w:tc>
          <w:p/>
          <w:p>
            <w:pPr>
              <w:spacing w:after="0" w:before="0" w:lineRule="auto" w:line="276"/>
              <w:jc w:val="left"/>
            </w:pPr>
            <w:r>
              <w:rPr>
                <w:rFonts w:ascii="Times New Roman" w:hAnsi="Times New Roman" w:cs="Times New Roman" w:eastAsia="Times New Roman"/>
                <w:b w:val="false"/>
                <w:sz w:val="26"/>
              </w:rPr>
              <w:t>mẫu 01.MGTH.doc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giấy tờ chứng minh thuộc đối tượng được miễn, giảm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tờ chứng minh thuộc đối tượng không phải nộp nghĩa vụ tài chính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địa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Mẫu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từ đã thực hiện xong nghĩa vụ tài chính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thực hiện thủ tục đăng ký biến động đất đai, tài sản gắn liền với đất mà có thay đổi thông tin về pháp nhân, số Giấy CMND, số thẻ Căn cước công dân, số định danh cá nhân, địa chỉ trên Giấy chứng nhận đã cấp thì thực hiện như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cá nhân thì cơ quan giải quyết thủ tục có trách nhiệm khai thác, sử dụng thông tin trong Cơ sở DLQG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Văn phòng đăng ký đất đai (Sở Tài nguyên và Moi trường) tại Bộ phận tiếp nhận và trả kết quả thuộc Văn phòng HĐND và UBND cấp huyện; 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 Ủy ban nhân dân cấp xã, Phòng Tài nguyên và môi trường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Ghi vào sổ địa chính và lập hồ sơ để Nhà nước quản lý. - Quyết định gia hạn quyền sử dụng đất; Hợp đồng thuê đất;  - Giấy chứng nhận đã xác nhận thay đổi hoặc Giấy chứng nhận mới. - Trường hợp không đủ điều kiện được gia hạn sử dụng đất thì cơ quan tài nguyên và môi trường thông báo cho người sử dụng đất và làm thủ tục thu hồi đất theo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92/2015/TT-BTC</w:t>
            </w:r>
          </w:p>
        </w:tc>
        <w:tc>
          <w:p/>
          <w:p>
            <w:pPr>
              <w:spacing w:after="0" w:before="0" w:lineRule="auto" w:line="276"/>
              <w:jc w:val="left"/>
            </w:pPr>
            <w:r>
              <w:rPr>
                <w:rFonts w:ascii="Times New Roman" w:hAnsi="Times New Roman" w:cs="Times New Roman" w:eastAsia="Times New Roman"/>
                <w:b w:val="false"/>
                <w:sz w:val="26"/>
              </w:rPr>
              <w:t>Thông tư 92/2015/TT-BTC</w:t>
            </w:r>
          </w:p>
        </w:tc>
        <w:tc>
          <w:p/>
          <w:p>
            <w:pPr>
              <w:spacing w:after="0" w:before="0" w:lineRule="auto" w:line="276"/>
              <w:jc w:val="left"/>
            </w:pPr>
            <w:r>
              <w:rPr>
                <w:rFonts w:ascii="Times New Roman" w:hAnsi="Times New Roman" w:cs="Times New Roman" w:eastAsia="Times New Roman"/>
                <w:b w:val="false"/>
                <w:sz w:val="26"/>
              </w:rPr>
              <w:t>15-06-2015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01-07-2014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24/2014/TT-BTNMT </w:t>
            </w:r>
          </w:p>
        </w:tc>
        <w:tc>
          <w:p/>
          <w:p>
            <w:pPr>
              <w:spacing w:after="0" w:before="0" w:lineRule="auto" w:line="276"/>
              <w:jc w:val="left"/>
            </w:pPr>
            <w:r>
              <w:rPr>
                <w:rFonts w:ascii="Times New Roman" w:hAnsi="Times New Roman" w:cs="Times New Roman" w:eastAsia="Times New Roman"/>
                <w:b w:val="false"/>
                <w:sz w:val="26"/>
              </w:rPr>
              <w:t>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Quy định chi tiết Nghị định số 01/2017/NĐ-CP ngày 06 tháng 01 năm 2017 của Chính phủ sửa đổi, bổ sung một số Nghị định quy định chi tiết thi hành Luật Đất đai và sửa đổi, bổ sung một số điều của các Thông tư hướng dẫn thi hành Luật đất đai</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 xml:space="preserve">23/2014/TT-BTNMT </w:t>
            </w:r>
          </w:p>
        </w:tc>
        <w:tc>
          <w:p/>
          <w:p>
            <w:pPr>
              <w:spacing w:after="0" w:before="0" w:lineRule="auto" w:line="276"/>
              <w:jc w:val="left"/>
            </w:pPr>
            <w:r>
              <w:rPr>
                <w:rFonts w:ascii="Times New Roman" w:hAnsi="Times New Roman" w:cs="Times New Roman" w:eastAsia="Times New Roman"/>
                <w:b w:val="false"/>
                <w:sz w:val="26"/>
              </w:rPr>
              <w:t>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 xml:space="preserve">88/2016/TTLT-BTC-BTNMT </w:t>
            </w:r>
          </w:p>
        </w:tc>
        <w:tc>
          <w:p/>
          <w:p>
            <w:pPr>
              <w:spacing w:after="0" w:before="0" w:lineRule="auto" w:line="276"/>
              <w:jc w:val="left"/>
            </w:pPr>
            <w:r>
              <w:rPr>
                <w:rFonts w:ascii="Times New Roman" w:hAnsi="Times New Roman" w:cs="Times New Roman" w:eastAsia="Times New Roman"/>
                <w:b w:val="false"/>
                <w:sz w:val="26"/>
              </w:rPr>
              <w:t>quy định về hồ sơ và trình tự, thủ tục tiếp nhận, luân chuyển hồ sơ xác định nghĩa vụ tài chính về đất đai của người sử dụng đất</w:t>
            </w:r>
          </w:p>
        </w:tc>
        <w:tc>
          <w:p/>
          <w:p>
            <w:pPr>
              <w:spacing w:after="0" w:before="0" w:lineRule="auto" w:line="276"/>
              <w:jc w:val="left"/>
            </w:pPr>
            <w:r>
              <w:rPr>
                <w:rFonts w:ascii="Times New Roman" w:hAnsi="Times New Roman" w:cs="Times New Roman" w:eastAsia="Times New Roman"/>
                <w:b w:val="false"/>
                <w:sz w:val="26"/>
              </w:rPr>
              <w:t>22-06-2016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số 09/2021/TT-BTNMT ngày 30 tháng 6 năm 2021 của Bộ trưởng Bộ Tài nguyên và Môi trường sửa đổi, bổ sung một số điều của các thông tư quy định chi tiết và hướng dẫn thi hành Luật Đất đai</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số 80/2021/TT-BTC ngày 29 tháng 9 năm 2021 của Bộ Tài chính hướng dẫn thi hành một số điều của Luật Quản lý thuế; Luật sửa đổi, bổ sung một số điều của Luật Quản lý thuế và Nghị định số 83/2013/NĐ-CP ngày 22/7/2013 của Chính phủ</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289/2022/NQ-HĐND</w:t>
            </w:r>
          </w:p>
        </w:tc>
        <w:tc>
          <w:p/>
          <w:p>
            <w:pPr>
              <w:spacing w:after="0" w:before="0" w:lineRule="auto" w:line="276"/>
              <w:jc w:val="left"/>
            </w:pPr>
            <w:r>
              <w:rPr>
                <w:rFonts w:ascii="Times New Roman" w:hAnsi="Times New Roman" w:cs="Times New Roman" w:eastAsia="Times New Roman"/>
                <w:b w:val="false"/>
                <w:sz w:val="26"/>
              </w:rPr>
              <w:t>Nghị quyết ban hành mức thu, miễn, giảm, thu, nộp quản lý và sử dụng các khoản phí, lệ phí thuộc Hội đồng nhân dân tỉnh</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14/2023/TT-BTNMT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LIÊN QUAN ĐẾN VIỆC NỘP, XUẤT TRÌNH SỔ HỘ KHẨU VÀ GIẤY TỜ LIÊN QUAN CƯ TRÚ KHI THỰC HIỆN THỦ TỤC HÀNH CHÍNH, CUNG CẤP DỊCH VỤ CÔNG TRONG LĨNH VỰC ĐẤT ĐAI</w:t>
            </w:r>
          </w:p>
        </w:tc>
        <w:tc>
          <w:p/>
          <w:p>
            <w:pPr>
              <w:spacing w:after="0" w:before="0" w:lineRule="auto" w:line="276"/>
              <w:jc w:val="left"/>
            </w:pPr>
            <w:r>
              <w:rPr>
                <w:rFonts w:ascii="Times New Roman" w:hAnsi="Times New Roman" w:cs="Times New Roman" w:eastAsia="Times New Roman"/>
                <w:b w:val="false"/>
                <w:sz w:val="26"/>
              </w:rPr>
              <w:t>16-10-2023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Trước khi hết hạn sử dụng đất tối thiểu là 06 tháng.
- Sau khi có văn bản của cơ quan có thẩm quyền về việc điều chỉnh dự án đầu tư đối với trường hợp điều chỉnh dự án đầu tư mà có thay đổi thời hạn hoạt động của dự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2026-05-23T22:34:13Z</dcterms:created>
  <dc:creator>Apache POI</dc:creator>
</cp:coreProperties>
</file>