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3825./QĐ-UBND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quyền sử dụng đất quyền sở hữu nhà ở và tài sản khác gắn liền với đất (Chi nhánh)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Trực tiếp
(1) Thời gian tiếp nhận và trả kết quả: Trong giờ hành chính các ngày từ thứ 2 đến thứ 6 hàng tuần (trừ các ngày nghỉ Lễ, Tết theo quy định).
(2) Địa điểm tiếp nhận và trả kết quả:
Chi nhánh Văn phòng Đăng ký đất đai tại Bộ phận tiếp nhận và trả kết quả thuộc Văn phòng HĐND và UBND cấp huyện. 
Hộ gia đình, cá nhân, cộng đồng dân cư, người Việt Nam định cư ở nước ngoài được sở hữu nhà ở gắn liền với quyền sử dụng đất ở tại Việt Nam (viết tắt là Hộ gia đình, cá nhân) nộp hồ sơ tại Ủy ban nhân cấp xã nơi có đất nếu có nhu cầu. Ủy ban nhân dân cấp xã có trách nhiệm tiếp nhận hồ sơ và trả kết qua theo quy định.
(3) Người sử dụng đất chuẩn bị đầy đủ hồ sơ và nộp theo quy định.
(4) Cơ quan tiếp nhận hồ sơ nhập đầy đủ thông tin vào Hệ thống thông tin giải quyết TTHC, in Phiếu tiếp nhận hồ sơ và trả kết quả cho người nộp hồ sơ.
Trường hợp nhận hồ sơ chưa đầy đủ, chưa hợp lệ thì trong thời gian tối đa 03 ngày làm việc, cơ quan tiếp nhận, xử lý hồ sơ phải thông báo và hướng dẫn người nộp hồ sơ bổ sung, hoàn chỉnh hồ sơ theo quy định.
Trường hợp nộp hồ sơ tại Ủy ban nhân dân cấp xã thì trong thời hạn 03 ngày làm việc kể từ ngày nhận đủ hồ sơ, Ủy ban nhân dân cấp xã phải chuyển hồ sơ đến Bộ phận tiếp nhận và trả kết quả của Chi nhánh Văn phòng Đăng ký đất đai.
(5) Kể từ ngày nhận được hồ sơ hợp lệ, Chi nhánh văn phòng đăng ký đất đai có trách nhiệm kiểm tra hồ sơ, điều kiện thực hiện thủ tục và thực hiện các công việc sau đây:
+ Kiểm tra hồ sơ, xác nhận vào đơn đề nghị về lý do cấp đổi Giấy chứng nhận;
+ Cấp Giấy chứng nhận quyền sử dụng đất, quyền sở hữu nhà ở và tài sản khác gắn liền với đất;
+ Cập nhật, chỉnh lý hồ sơ địa chính, cơ sở dữ liệu đất đai;
+ Trao Giấy chứng nhận cho người sử dụng đất hoặc gửi Ủy ban nhân dân cấp xã để trao đối với trường hợp nộp hồ sơ tại cấp xã.
Trường hợp cấp đổi Giấy chứng nhận sau đo đạc lập bản đồ địa chính mà Giấy chứng nhận đã cấp đang thế chấp tại tổ chức tín dụng thì Chi nhánh Văn phòng đăng ký đất đai có trách nhiệm thông báo danh sách các trường hợp làm thủ tục cấp đổi Giấy chứng nhận cho tổ chức tín dụng nơi nhận thế chấp quyền sử dụng đất, tài sản gắn liền với đất; xác nhận việc đăng ký thế chấp vào Giấy chứng nhận quyền sử dụng đất, quyền sở hữu nhà ở và tài sản khác gắn liền với đất sau khi được cơ quan có thẩm quyền ký cấp đổi. 
Việc trao Giấy chứng nhận quyền sử dụng đất, quyền sở hữu nhà ở và tài sản khác gắn liền với đất mới cấp đổi được thực hiện đồng thời giữa ba bên gồm Chi nhánh Văn phòng đăng ký đất đai, người sử dụng đất và tổ chức tín dụng theo quy định như sau: 
- Người sử dụng đất ký, nhận Giấy chứng nhận quyền sử dụng đất, quyền sở hữu nhà ở và tài sản khác gắn liền với đất mới từ Chi nhánh Văn phòng đăng ký đất đai để trao cho tổ chức tín dụng nơi đang nhận thế chấp;
 - Tổ chức tín dụng có trách nhiệm trao Giấy chứng nhận cũ đang thế chấp cho Chi nhánh Văn phòng đăng ký đất đai để quản lý.
b. Thực hiện thủ tục trên môi trường điện tử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Cơ quan tiếp nhận hoặc cơ quan giải quyết hồ sơ thông báo cho người yêu cầu thực hiện thủ tục hành chính nộp bản chính Giấy chứng nhận đã cấp, các giấy tờ theo quy định sau khi người sử dụng đất hoàn thành nghĩa vụ tài chính.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TT8.docx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TT8.docx</w:t>
            </w:r>
          </w:p>
        </w:tc>
        <w:tc>
          <w:p/>
          <w:p>
            <w:pPr>
              <w:spacing w:after="0" w:before="0" w:lineRule="auto" w:line="276"/>
              <w:jc w:val="left"/>
            </w:pPr>
            <w:r>
              <w:rPr>
                <w:rFonts w:ascii="Times New Roman" w:hAnsi="Times New Roman" w:cs="Times New Roman" w:eastAsia="Times New Roman"/>
                <w:b w:val="false"/>
                <w:sz w:val="26"/>
              </w:rPr>
              <w:t>Tại Chi nhánh Văn phòng Đăng ký đất đai: 07 ngày làm việc; trường hợp cấp đổi đồng loạt cho nhiều người sử dụng đất do đo vẽ lại bản đồ là không quá 50 ngày làm việc.
Thời gian này không tính thời gian các ngày nghỉ, ngày lễ theo quy định của pháp luật; không tính thời gian tiếp nhận, thời gian Ủy ban nhân dân cấp xã thực hiện các công việc theo quy định; thời gian thực hiện nghĩa vụ tài chính của người sử dụng đất (nếu có);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TT8 (1).docx</w:t>
            </w:r>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r>
          </w:p>
        </w:tc>
        <w:tc>
          <w:p/>
          <w:p>
            <w:pPr>
              <w:spacing w:after="0" w:before="0" w:lineRule="auto" w:line="276"/>
              <w:jc w:val="left"/>
            </w:pPr>
            <w:r>
              <w:rPr>
                <w:rFonts w:ascii="Times New Roman" w:hAnsi="Times New Roman" w:cs="Times New Roman" w:eastAsia="Times New Roman"/>
                <w:b w:val="false"/>
                <w:sz w:val="26"/>
              </w:rPr>
              <w:t>Tại Chi nhánh Văn phòng Đăng ký đất đai: 07 ngày làm việc; trường hợp cấp đổi đồng loạt cho nhiều người sử dụng đất do đo vẽ lại bản đồ là không quá 50 ngày làm việc.
Thời gian này không tính thời gian các ngày nghỉ, ngày lễ theo quy định của pháp luật; không tính thời gian tiếp nhận, thời gian Ủy ban nhân dân cấp xã thực hiện các công việc theo quy định; thời gian thực hiện nghĩa vụ tài chính của người sử dụng đất (nếu có);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theo Nghị quyết 289.docx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theo Nghị quyết 289.docx</w:t>
            </w:r>
          </w:p>
        </w:tc>
        <w:tc>
          <w:p/>
          <w:p>
            <w:pPr>
              <w:spacing w:after="0" w:before="0" w:lineRule="auto" w:line="276"/>
              <w:jc w:val="left"/>
            </w:pPr>
            <w:r>
              <w:rPr>
                <w:rFonts w:ascii="Times New Roman" w:hAnsi="Times New Roman" w:cs="Times New Roman" w:eastAsia="Times New Roman"/>
                <w:b w:val="false"/>
                <w:sz w:val="26"/>
              </w:rPr>
              <w:t>Tại Chi nhánh Văn phòng Đăng ký đất đai: 07 ngày làm việc; trường hợp cấp đổi đồng loạt cho nhiều người sử dụng đất do đo vẽ lại bản đồ là không quá 50 ngày làm việc.
Thời gian này không tính thời gian các ngày nghỉ, ngày lễ theo quy định của pháp luật; không tính thời gian tiếp nhận, thời gian Ủy ban nhân dân cấp xã thực hiện các công việc theo quy định; thời gian thực hiện nghĩa vụ tài chính của người sử dụng đất (nếu có);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Kết quả giải quyết thủ tục hành chính phải trả cho người sử dụng đất, chủ sở hữu tài sản gắn liền với đất trong thời hạn không quá 03 ngày làm việc kể từ ngày có kết quả giải quyết.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đổi Giấy chứng nhận: Bản chính;</w:t>
            </w:r>
          </w:p>
        </w:tc>
        <w:tc>
          <w:p/>
          <w:p>
            <w:pPr>
              <w:spacing w:after="0" w:before="0" w:lineRule="auto" w:line="276"/>
              <w:jc w:val="left"/>
            </w:pPr>
            <w:r>
              <w:rPr>
                <w:rFonts w:ascii="Times New Roman" w:hAnsi="Times New Roman" w:cs="Times New Roman" w:eastAsia="Times New Roman"/>
                <w:b w:val="false"/>
                <w:sz w:val="26"/>
              </w:rPr>
              <w:t>Mau so 10-ĐK.doc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thế chấp quyền sử dụng đất, tài sản gắn liền với đất thay cho bản gốc Giấy chứng nhận đã cấp đối với trường hợp cấp đổi Giấy chứng nhận sau khi đo đạc lập bản đồ địa chính mà Giấy chứng nhận đã cấp đang thế chấp tại tổ chức tín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Văn phòng đăng ký đất đai (Sở Tài nguyên và Môi trường) tại Bộ phận tiếp nhận và trả kết quả thuộc Văn phòng HĐND và UBND cấp huyện; 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Ghi vào sổ địa chính và lập hồ sơ để Nhà nước quản lý.   - Giấy chứng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luật đất đai năm 2013</w:t>
            </w:r>
          </w:p>
        </w:tc>
        <w:tc>
          <w:p/>
          <w:p>
            <w:pPr>
              <w:spacing w:after="0" w:before="0" w:lineRule="auto" w:line="276"/>
              <w:jc w:val="left"/>
            </w:pPr>
            <w:r>
              <w:rPr>
                <w:rFonts w:ascii="Times New Roman" w:hAnsi="Times New Roman" w:cs="Times New Roman" w:eastAsia="Times New Roman"/>
                <w:b w:val="false"/>
                <w:sz w:val="26"/>
              </w:rPr>
              <w:t>01-07-2014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24/2014/TT-BTNMT </w:t>
            </w:r>
          </w:p>
        </w:tc>
        <w:tc>
          <w:p/>
          <w:p>
            <w:pPr>
              <w:spacing w:after="0" w:before="0" w:lineRule="auto" w:line="276"/>
              <w:jc w:val="left"/>
            </w:pPr>
            <w:r>
              <w:rPr>
                <w:rFonts w:ascii="Times New Roman" w:hAnsi="Times New Roman" w:cs="Times New Roman" w:eastAsia="Times New Roman"/>
                <w:b w:val="false"/>
                <w:sz w:val="26"/>
              </w:rPr>
              <w:t>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23/2014/TT-BTNMT </w:t>
            </w:r>
          </w:p>
        </w:tc>
        <w:tc>
          <w:p/>
          <w:p>
            <w:pPr>
              <w:spacing w:after="0" w:before="0" w:lineRule="auto" w:line="276"/>
              <w:jc w:val="left"/>
            </w:pPr>
            <w:r>
              <w:rPr>
                <w:rFonts w:ascii="Times New Roman" w:hAnsi="Times New Roman" w:cs="Times New Roman" w:eastAsia="Times New Roman"/>
                <w:b w:val="false"/>
                <w:sz w:val="26"/>
              </w:rPr>
              <w:t>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08/5/2020 của UBND tỉnh Ban hành Đơn giá dịch vụ công trong lĩnh vực đất đai áp dụng tại Văn phòng Đăng ký đất đai thực hiện trên địa bàn tỉnh Thanh Hóa</w:t>
            </w:r>
          </w:p>
        </w:tc>
        <w:tc>
          <w:p/>
          <w:p>
            <w:pPr>
              <w:spacing w:after="0" w:before="0" w:lineRule="auto" w:line="276"/>
              <w:jc w:val="left"/>
            </w:pPr>
            <w:r>
              <w:rPr>
                <w:rFonts w:ascii="Times New Roman" w:hAnsi="Times New Roman" w:cs="Times New Roman" w:eastAsia="Times New Roman"/>
                <w:b w:val="false"/>
                <w:sz w:val="26"/>
              </w:rPr>
              <w:t>08-05-2020</w:t>
            </w:r>
          </w:p>
        </w:tc>
        <w:tc>
          <w:p/>
          <w:p>
            <w:pPr>
              <w:spacing w:after="0" w:before="0" w:lineRule="auto" w:line="276"/>
              <w:jc w:val="left"/>
            </w:pPr>
            <w:r>
              <w:rPr>
                <w:rFonts w:ascii="Times New Roman" w:hAnsi="Times New Roman" w:cs="Times New Roman" w:eastAsia="Times New Roman"/>
                <w:b w:val="false"/>
                <w:sz w:val="26"/>
              </w:rPr>
              <w:t>Ủy ban nhân dân cấp tỉnh</w:t>
            </w:r>
          </w:p>
        </w:tc>
      </w:tr>
      <w:tr>
        <w:tc>
          <w:p/>
          <w:p>
            <w:pPr>
              <w:spacing w:after="0" w:before="0" w:lineRule="auto" w:line="276"/>
              <w:jc w:val="left"/>
            </w:pPr>
            <w:r>
              <w:rPr>
                <w:rFonts w:ascii="Times New Roman" w:hAnsi="Times New Roman" w:cs="Times New Roman" w:eastAsia="Times New Roman"/>
                <w:b w:val="false"/>
                <w:sz w:val="26"/>
              </w:rPr>
              <w:t>148/2020/NĐ-CP</w:t>
            </w:r>
          </w:p>
        </w:tc>
        <w:tc>
          <w:p/>
          <w:p>
            <w:pPr>
              <w:spacing w:after="0" w:before="0" w:lineRule="auto" w:line="276"/>
              <w:jc w:val="left"/>
            </w:pPr>
            <w:r>
              <w:rPr>
                <w:rFonts w:ascii="Times New Roman" w:hAnsi="Times New Roman" w:cs="Times New Roman" w:eastAsia="Times New Roman"/>
                <w:b w:val="false"/>
                <w:sz w:val="26"/>
              </w:rPr>
              <w:t>Nghị định 148/2020/NĐ-CP</w:t>
            </w:r>
          </w:p>
        </w:tc>
        <w:tc>
          <w:p/>
          <w:p>
            <w:pPr>
              <w:spacing w:after="0" w:before="0" w:lineRule="auto" w:line="276"/>
              <w:jc w:val="left"/>
            </w:pPr>
            <w:r>
              <w:rPr>
                <w:rFonts w:ascii="Times New Roman" w:hAnsi="Times New Roman" w:cs="Times New Roman" w:eastAsia="Times New Roman"/>
                <w:b w:val="false"/>
                <w:sz w:val="26"/>
              </w:rPr>
              <w:t>18-12-2020</w:t>
            </w:r>
          </w:p>
        </w:tc>
        <w:tc>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số 09/2021/TT-BTNMT ngày 30 tháng 6 năm 2021 của Bộ trưởng Bộ Tài nguyên và Môi trường sửa đổi, bổ sung một số điều của các thông tư quy định chi tiết và hướng dẫn thi hành Luật Đất đai</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03-04-2023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cấp đổi Giấy chứng nhận, Giấy chứng nhận quyền sở hữu nhà ở, Giấy chứng nhận quyền sở hữu công trình xây dựng đã cấp được thực hiện trong các trường hợp sau:
- Người sử dụng đất có nhu cầu đổi Giấy chứng nhận quyền sở hữu nhà ở, Giấy chứng nhận quyền sở hữu công trình xây dựng hoặc các loại Giấy chứng nhận đã cấp trước ngày 10 tháng 12 năm 2009 sang loại Giấy chứng nhận quyền sử dụng đất, quyền sở hữu nhà ở và tài sản khác gắn liền với đất;
- Giấy chứng nhận, Giấy chứng nhận quyền sở hữu nhà ở, Giấy chứng nhận quyền sở hữu công trình xây dựng đã cấp bị ố, nhòe, rách, hư hỏng;
- Do đo đạc xác định lại diện tích, kích thước thửa đất;
- Trường hợp quyền sử dụng đất, quyền sở hữu tài sản gắn liền với đất là tài sản chung của vợ và chồng mà Giấy chứng nhận đã cấp chỉ ghi họ, tên của vợ hoặc của chồng, nay có yêu cầu cấp đổi Giấy chứng nhận để ghi cả họ, tên vợ và họ, tên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2026-04-29T23:04:52Z</dcterms:created>
  <dc:creator>Apache POI</dc:creator>
</cp:coreProperties>
</file>