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đính chính Giấy chứng nhận đã cấp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Người sử dụng đất chuẩn bị đầy đủ hồ sơ theo quy định.
Trường hợp Chi nhánh Văn phòng Đăng ký đất đai phát hiện Giấy chứng nhận, Giấy chứng nhận quyền sở hữu nhà ở, Giấy chứng nhận quyền sở hữu công trình xây dựng đã cấp có sai sót thì thông báo cho người sử dụng đất biết và yêu cầu người sử dụng đất, chủ sở hữu tài sản gắn liền với đất nộp Giấy chứng nhận đã cấp để thực hiện đính chính.
Trường hợp sai sót do lỗi của người sử dụng đất, chủ sở hữu tài sản gắn liền với đất thì người sử dụng đất, chủ sở hữu tài sản gắn liền với đất phải có đơn đề nghị để được đính chính.
Trường hợp hồ sơ chưa đầy đủ, chưa hợp lệ thì trong thời gian tối đa 03 ngày làm việc, cơ quan tiếp nhận, xử lý hồ sơ phải thông báo và hướng dẫn người nộp hồ sơ bổ sung, hoàn chỉnh hồ sơ theo quy định.
(4) Kể từ ngày nhận được hồ sơ, Chi nhánh Văn phòng Đăng ký đất đai có trách nhiệm kiểm tra; lập biên bản kết luận về nội dung và nguyên nhân sai sót; lập hồ sơ trình cơ quan có thẩm quyền thực hiện đính chính vào Giấy chứng nhận đã cấp có sai sót; đồng thời chỉnh lý nội dung sai sót vào hồ sơ địa chính, cơ sở dữ liệu đất đai
Trường hợp đính chính mà người được cấp Giấy chứng nhận có yêu cầu cấp đổi sang Giấy chứng nhận quyền sử dụng đất, quyền sở hữu nhà ở và tài sản khác gắn liền với đất thì Chi nhánh Văn phòng đăng ký đất đai thực hiện cấp Giấy chứng nhận quyền sử dụng đất, quyền sở hữu nhà ở và tài sản khác gắn liền với đất.
Chi nhánh văn phòng đăng ký đất đai trao Giấy chứng nhận cho người sử dụng đất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 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 9.docx</w:t>
            </w:r>
          </w:p>
        </w:tc>
        <w:tc>
          <w:p/>
          <w:p>
            <w:pPr>
              <w:spacing w:after="0" w:before="0" w:lineRule="auto" w:line="276"/>
              <w:jc w:val="left"/>
            </w:pPr>
            <w:r>
              <w:rPr>
                <w:rFonts w:ascii="Times New Roman" w:hAnsi="Times New Roman" w:cs="Times New Roman" w:eastAsia="Times New Roman"/>
                <w:b w:val="false"/>
                <w:sz w:val="26"/>
              </w:rPr>
              <w:t>Thời gian này không tính thời gian Ủy ban nhân dân cấp xã tiếp nhận và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 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 9.docx</w:t>
            </w:r>
          </w:p>
        </w:tc>
        <w:tc>
          <w:p/>
          <w:p>
            <w:pPr>
              <w:spacing w:after="0" w:before="0" w:lineRule="auto" w:line="276"/>
              <w:jc w:val="left"/>
            </w:pPr>
            <w:r>
              <w:rPr>
                <w:rFonts w:ascii="Times New Roman" w:hAnsi="Times New Roman" w:cs="Times New Roman" w:eastAsia="Times New Roman"/>
                <w:b w:val="false"/>
                <w:sz w:val="26"/>
              </w:rPr>
              <w:t>Thời gian này không tính thời gian Ủy ban nhân dân cấp xã tiếp nhận và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 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 9.docx</w:t>
            </w:r>
          </w:p>
        </w:tc>
        <w:tc>
          <w:p/>
          <w:p>
            <w:pPr>
              <w:spacing w:after="0" w:before="0" w:lineRule="auto" w:line="276"/>
              <w:jc w:val="left"/>
            </w:pPr>
            <w:r>
              <w:rPr>
                <w:rFonts w:ascii="Times New Roman" w:hAnsi="Times New Roman" w:cs="Times New Roman" w:eastAsia="Times New Roman"/>
                <w:b w:val="false"/>
                <w:sz w:val="26"/>
              </w:rPr>
              <w:t>Thời gian này không tính thời gian Ủy ban nhân dân cấp xã tiếp nhận và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đính chính Giấy chứng nhận đối với trường hợp phát hiện sai sót do lỗi của người sử dụng đất, chủ sở hữu tài sản gắn liền với đất: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Môi trường, Văn phòng đăng ký quyền sử dụng đất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quyền sử dụng đất, quyền sở hữu nhà ở và tài sản khác gắn liền với đất đã cấp có sai sót.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2026-05-23T22:38:00Z</dcterms:created>
  <dc:creator>Apache POI</dc:creator>
</cp:coreProperties>
</file>