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2.002289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1743/QĐ-BGTVT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phù hiệu xe ô tô kinh doanh vận tải (kinh doanh vận tải hành khách: bằng xe ô tô theo tuyến cố định, xe trung chuyển, bằng xe buýt theo tuyến cố định, bằng xe taxi, xe hợp đồng; kinh doanh vận tải hàng hóa: bằng xe công-ten-nơ, xe ô tô đầu kéo kéo rơ moóc hoặc sơ mi rơ moóc, xe ô tô tải kinh doanh vận tải hàng hóa thông thường và xe taxi tải)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Nộp hồ sơ TTHC:</w:t>
      </w:r>
    </w:p>
    <w:p>
      <w:pPr>
        <w:spacing w:after="0" w:before="0" w:lineRule="auto" w:line="276"/>
        <w:jc w:val="both"/>
      </w:pPr>
      <w:r>
        <w:rPr>
          <w:rFonts w:ascii="Times New Roman" w:hAnsi="Times New Roman" w:cs="Times New Roman" w:eastAsia="Times New Roman"/>
          <w:b w:val="false"/>
          <w:sz w:val="26"/>
        </w:rPr>
        <w:t>- Đơn vị kinh doanh vận tải gửi hồ sơ đề nghị cấp phù hiệu đến Sở Giao thông vận tải nơi đã cấp Giấy phép kinh doanh cho đơn vị;</w:t>
      </w:r>
    </w:p>
    <w:p>
      <w:pPr>
        <w:spacing w:after="0" w:before="0" w:lineRule="auto" w:line="276"/>
        <w:jc w:val="both"/>
      </w:pPr>
      <w:r>
        <w:rPr>
          <w:rFonts w:ascii="Times New Roman" w:hAnsi="Times New Roman" w:cs="Times New Roman" w:eastAsia="Times New Roman"/>
          <w:b w:val="false"/>
          <w:sz w:val="26"/>
        </w:rPr>
        <w:t>- Trường hợp đơn vị kinh doanh vận tải hành khách theo tuyến cố định có nhu cầu sử dụng xe trung chuyển nộp hồ sơ đề nghị cấp phù hiệu "XE TRUNG CHUYỂN" đến Sở Giao thông vận tải nơi cấp Giấy phép kinh doanh cho đơn vị hoặc Sở Giao thông vận tải đầu tuyến bên kia.</w:t>
      </w:r>
    </w:p>
    <w:p>
      <w:pPr>
        <w:shd w:val="clear" w:color="auto" w:fill="F2F6F9"/>
        <w:spacing w:after="0" w:before="120" w:lineRule="auto" w:line="276"/>
        <w:jc w:val="both"/>
      </w:pPr>
      <w:r>
        <w:rPr>
          <w:rFonts w:ascii="Times New Roman" w:hAnsi="Times New Roman" w:cs="Times New Roman" w:eastAsia="Times New Roman"/>
          <w:b w:val="true"/>
          <w:sz w:val="26"/>
        </w:rPr>
        <w:t>Giải quyết TTHC:</w:t>
      </w:r>
    </w:p>
    <w:p>
      <w:pPr>
        <w:spacing w:after="0" w:before="0" w:lineRule="auto" w:line="276"/>
        <w:jc w:val="both"/>
      </w:pPr>
      <w:r>
        <w:rPr>
          <w:rFonts w:ascii="Times New Roman" w:hAnsi="Times New Roman" w:cs="Times New Roman" w:eastAsia="Times New Roman"/>
          <w:b w:val="false"/>
          <w:sz w:val="26"/>
        </w:rPr>
        <w:t>- Trường hợp hồ sơ cần sửa đổi, bổ sung, cơ quan cấp phù hiệu thông báo trực tiếp hoặc bằng văn bản hoặc thông báo qua hệ thống dịch vụ công trực tuyến những nội dung cần bổ sung hoặc sửa đổi đến đơn vị kinh doanh vận tải trong thời hạn 01 ngày làm việc kể từ ngày nhận hồ sơ.</w:t>
      </w:r>
    </w:p>
    <w:p>
      <w:pPr>
        <w:spacing w:after="0" w:before="0" w:lineRule="auto" w:line="276"/>
        <w:jc w:val="both"/>
      </w:pPr>
      <w:r>
        <w:rPr>
          <w:rFonts w:ascii="Times New Roman" w:hAnsi="Times New Roman" w:cs="Times New Roman" w:eastAsia="Times New Roman"/>
          <w:b w:val="false"/>
          <w:sz w:val="26"/>
        </w:rPr>
        <w:t>- Trong thời hạn 02 ngày làm việc, kể từ khi nhận hồ sơ đúng quy định, Sở Giao thông vận tải cấp phù hiệu cho các xe theo đề nghị của đơn vị kinh doanh vận tải. Trường hợp từ chối không cấp, Sở Giao thông vận tải trả lời bằng văn bản hoặc trả lời thông qua hệ thống dịch vụ công trực tuyến và nêu rõ lý do.
Sở Giao thông vận tải có trách nhiệm cập nhật thông tin trên hệ thống dữ liệu giám sát hành trình của Cục Đường bộ Việt Nam, thực hiện kiểm tra và chỉ cấp phù hiệu khi thiết bị giám sát hành trình của xe đáp ứng đầy đủ các quy định về lắp đặt, truyền dẫn dữ liệu.
Việc tiếp nhận hồ sơ và trả kết quả được thực hiện trực tiếp tại cơ quan cấp hoặc qua đường bưu điện hoặc hình thức phù hợp khác theo quy định. Trường hợp tiếp nhận hồ sơ trực tiếp tại cơ quan cấp hoặc qua đường bưu điện, cán bộ tiếp nhận hồ sơ cập nhật thông tin của các hồ sơ đúng theo quy định vào hệ thống dịch vụ công trực tuyến của Bộ Giao thông vận tải.
Sở Giao thông vận tải thực hiện việc xử lý hồ sơ và cấp phù hiệu trên hệ thống dịch vụ công trực tuyến của Bộ Giao thông vận tải;</w:t>
      </w:r>
    </w:p>
    <w:p>
      <w:pPr>
        <w:spacing w:after="0" w:before="0" w:lineRule="auto" w:line="276"/>
        <w:jc w:val="both"/>
      </w:pPr>
      <w:r>
        <w:rPr>
          <w:rFonts w:ascii="Times New Roman" w:hAnsi="Times New Roman" w:cs="Times New Roman" w:eastAsia="Times New Roman"/>
          <w:b w:val="false"/>
          <w:sz w:val="26"/>
        </w:rPr>
        <w:t>- Sở Giao thông vận tải kiểm tra thông tin về Giấy chứng nhận kiểm định an toàn kỹ thuật và bảo vệ môi trường đối với các xe ô tô để đảm bảo phương tiện đủ điều kiện kinh doanh vận tải trên hệ thống Đăng kiểm Việt Nam;</w:t>
      </w:r>
    </w:p>
    <w:p>
      <w:pPr>
        <w:spacing w:after="0" w:before="0" w:lineRule="auto" w:line="276"/>
        <w:jc w:val="both"/>
      </w:pPr>
      <w:r>
        <w:rPr>
          <w:rFonts w:ascii="Times New Roman" w:hAnsi="Times New Roman" w:cs="Times New Roman" w:eastAsia="Times New Roman"/>
          <w:b w:val="false"/>
          <w:sz w:val="26"/>
        </w:rPr>
        <w:t>- Sở Giao thông vận tải kiểm tra thông tin về tình trạng của phương tiện trên hệ thống dịch vụ công trực tuyến của Bộ Giao thông vận tải và hệ thống dữ liệu giám sát hành trình của Cục Đường bộ Việt Nam để thực hiện theo các trường hợp sau:
+ Trường hợp phương tiện chưa có trên hệ thống thì thực hiện cấp phù hiệu;
+ Trường hợp phương tiện đã có trên hệ thống, Sở Giao thông vận tải nơi tiếp nhận hồ sơ thực hiện gửi thông tin qua hệ thống dịch vụ công trực tuyến đến Sở Giao thông vận tải đang quản lý phương tiện để đề nghị xác nhận và gỡ bỏ phương tiện khỏi hệ thống. Trong thời gian 02 ngày làm việc, Sở Giao thông vận tải nhận được đề nghị phải trả lời, trường hợp không đồng ý gỡ thông tin của phương tiện phải nêu rõ lý do. Sở Giao thông vận tải nơi tiếp nhận hồ sơ thực hiện cấp phù hiệu, biển hiệu sau khi phương tiện được gỡ bỏ khỏi hệ thống.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- 02 ngày làm việc, kể từ khi nhận hồ sơ đúng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- 02 ngày làm việc, kể từ khi nhận hồ sơ đúng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- 02 ngày làm việc, kể từ khi nhận hồ sơ đúng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cấp phù hiệu theo mẫu quy định;</w:t>
            </w:r>
          </w:p>
        </w:tc>
        <w:tc>
          <w:p/>
          <w:p>
            <w:pPr>
              <w:spacing w:after="0" w:before="0" w:lineRule="auto" w:line="276"/>
              <w:jc w:val="left"/>
            </w:pPr>
            <w:r>
              <w:rPr>
                <w:rFonts w:ascii="Times New Roman" w:hAnsi="Times New Roman" w:cs="Times New Roman" w:eastAsia="Times New Roman"/>
                <w:b w:val="false"/>
                <w:sz w:val="26"/>
              </w:rPr>
              <w:t>Mẫu.docx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đăng ký xe ô tô hoặc bản sao giấy hẹn nhận giấy đăng ký xe ô tô của cơ quan cấp đăng ký. Trường hợp phương tiện không thuộc quyền sở hữu của đơn vị kinh doanh vận tải thì xuất trình thêm bản sao một trong các giấy tờ sau: Hợp đồng thuê phương tiện bằng văn bản với tổ chức, cá nhân hoặc hợp đồng dịch vụ giữa thành viên và hợp tác xã hoặc hợp đồng hợp tác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Giao thông vận tải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Giao thông vận tải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Phù hiệu (xe tuyến cố định, xe trung chuyển, xe buýt, xe taxi, xe hợp đồng, xe tải, xe chở khách, xe chở hàng)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10/2020/NĐ-CP</w:t>
            </w:r>
          </w:p>
        </w:tc>
        <w:tc>
          <w:p/>
          <w:p>
            <w:pPr>
              <w:spacing w:after="0" w:before="0" w:lineRule="auto" w:line="276"/>
              <w:jc w:val="left"/>
            </w:pPr>
            <w:r>
              <w:rPr>
                <w:rFonts w:ascii="Times New Roman" w:hAnsi="Times New Roman" w:cs="Times New Roman" w:eastAsia="Times New Roman"/>
                <w:b w:val="false"/>
                <w:sz w:val="26"/>
              </w:rPr>
              <w:t>Nghị định 10/2020/NĐ-CP</w:t>
            </w:r>
          </w:p>
        </w:tc>
        <w:tc>
          <w:p/>
          <w:p>
            <w:pPr>
              <w:spacing w:after="0" w:before="0" w:lineRule="auto" w:line="276"/>
              <w:jc w:val="left"/>
            </w:pPr>
            <w:r>
              <w:rPr>
                <w:rFonts w:ascii="Times New Roman" w:hAnsi="Times New Roman" w:cs="Times New Roman" w:eastAsia="Times New Roman"/>
                <w:b w:val="false"/>
                <w:sz w:val="26"/>
              </w:rPr>
              <w:t>17-01-2020</w:t>
            </w:r>
          </w:p>
        </w:tc>
        <w:tc>
          <w:p/>
        </w:tc>
      </w:tr>
      <w:tr>
        <w:tc>
          <w:p/>
          <w:p>
            <w:pPr>
              <w:spacing w:after="0" w:before="0" w:lineRule="auto" w:line="276"/>
              <w:jc w:val="left"/>
            </w:pPr>
            <w:r>
              <w:rPr>
                <w:rFonts w:ascii="Times New Roman" w:hAnsi="Times New Roman" w:cs="Times New Roman" w:eastAsia="Times New Roman"/>
                <w:b w:val="false"/>
                <w:sz w:val="26"/>
              </w:rPr>
              <w:t>12/2020/TT-BGTVT</w:t>
            </w:r>
          </w:p>
        </w:tc>
        <w:tc>
          <w:p/>
          <w:p>
            <w:pPr>
              <w:spacing w:after="0" w:before="0" w:lineRule="auto" w:line="276"/>
              <w:jc w:val="left"/>
            </w:pPr>
            <w:r>
              <w:rPr>
                <w:rFonts w:ascii="Times New Roman" w:hAnsi="Times New Roman" w:cs="Times New Roman" w:eastAsia="Times New Roman"/>
                <w:b w:val="false"/>
                <w:sz w:val="26"/>
              </w:rPr>
              <w:t>Quy định về tổ chức, quản lý hoạt động vận tải bằng xe ô tô và dịch vụ hỗ trợ vận tải đường bộ</w:t>
            </w:r>
          </w:p>
        </w:tc>
        <w:tc>
          <w:p/>
          <w:p>
            <w:pPr>
              <w:spacing w:after="0" w:before="0" w:lineRule="auto" w:line="276"/>
              <w:jc w:val="left"/>
            </w:pPr>
            <w:r>
              <w:rPr>
                <w:rFonts w:ascii="Times New Roman" w:hAnsi="Times New Roman" w:cs="Times New Roman" w:eastAsia="Times New Roman"/>
                <w:b w:val="false"/>
                <w:sz w:val="26"/>
              </w:rPr>
              <w:t>29-05-2020</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47/2022/NĐ-CP</w:t>
            </w:r>
          </w:p>
        </w:tc>
        <w:tc>
          <w:p/>
          <w:p>
            <w:pPr>
              <w:spacing w:after="0" w:before="0" w:lineRule="auto" w:line="276"/>
              <w:jc w:val="left"/>
            </w:pPr>
            <w:r>
              <w:rPr>
                <w:rFonts w:ascii="Times New Roman" w:hAnsi="Times New Roman" w:cs="Times New Roman" w:eastAsia="Times New Roman"/>
                <w:b w:val="false"/>
                <w:sz w:val="26"/>
              </w:rPr>
              <w:t>Nghị định 47/2022/NĐ-CP</w:t>
            </w:r>
          </w:p>
        </w:tc>
        <w:tc>
          <w:p/>
          <w:p>
            <w:pPr>
              <w:spacing w:after="0" w:before="0" w:lineRule="auto" w:line="276"/>
              <w:jc w:val="left"/>
            </w:pPr>
            <w:r>
              <w:rPr>
                <w:rFonts w:ascii="Times New Roman" w:hAnsi="Times New Roman" w:cs="Times New Roman" w:eastAsia="Times New Roman"/>
                <w:b w:val="false"/>
                <w:sz w:val="26"/>
              </w:rPr>
              <w:t>19-07-2022</w:t>
            </w:r>
          </w:p>
        </w:tc>
        <w:tc>
          <w:p/>
        </w:tc>
      </w:tr>
      <w:tr>
        <w:tc>
          <w:p/>
          <w:p>
            <w:pPr>
              <w:spacing w:after="0" w:before="0" w:lineRule="auto" w:line="276"/>
              <w:jc w:val="left"/>
            </w:pPr>
            <w:r>
              <w:rPr>
                <w:rFonts w:ascii="Times New Roman" w:hAnsi="Times New Roman" w:cs="Times New Roman" w:eastAsia="Times New Roman"/>
                <w:b w:val="false"/>
                <w:sz w:val="26"/>
              </w:rPr>
              <w:t>41/2024/NĐ-CP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liên quan đến quản lý hoạt động vận tải bằng xe ô tô, đào tạo lái xe ô tô và dịch vụ sát hạch lái xe</w:t>
            </w:r>
          </w:p>
        </w:tc>
        <w:tc>
          <w:p/>
          <w:p>
            <w:pPr>
              <w:spacing w:after="0" w:before="0" w:lineRule="auto" w:line="276"/>
              <w:jc w:val="left"/>
            </w:pPr>
            <w:r>
              <w:rPr>
                <w:rFonts w:ascii="Times New Roman" w:hAnsi="Times New Roman" w:cs="Times New Roman" w:eastAsia="Times New Roman"/>
                <w:b w:val="false"/>
                <w:sz w:val="26"/>
              </w:rPr>
              <w:t>16-04-2024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20/2021/TT-BGTVT</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12/2020/TT-BGTVT ngày 29 tháng 5 năm 2020 của Bộ trưởng Bộ Giao thông vận tải quy định về tổ chức, quản lý hoạt động vận tải bằng xe ô tô và dịch vụ hỗ trợ vận tải đường bộ.</w:t>
            </w:r>
          </w:p>
        </w:tc>
        <w:tc>
          <w:p/>
          <w:p>
            <w:pPr>
              <w:spacing w:after="0" w:before="0" w:lineRule="auto" w:line="276"/>
              <w:jc w:val="left"/>
            </w:pPr>
            <w:r>
              <w:rPr>
                <w:rFonts w:ascii="Times New Roman" w:hAnsi="Times New Roman" w:cs="Times New Roman" w:eastAsia="Times New Roman"/>
                <w:b w:val="false"/>
                <w:sz w:val="26"/>
              </w:rPr>
              <w:t>04-02-2021</w:t>
            </w:r>
          </w:p>
        </w:tc>
        <w:tc>
          <w:p/>
          <w:p>
            <w:pPr>
              <w:spacing w:after="0" w:before="0" w:lineRule="auto" w:line="276"/>
              <w:jc w:val="left"/>
            </w:pPr>
            <w:r>
              <w:rPr>
                <w:rFonts w:ascii="Times New Roman" w:hAnsi="Times New Roman" w:cs="Times New Roman" w:eastAsia="Times New Roman"/>
                <w:b w:val="false"/>
                <w:sz w:val="26"/>
              </w:rPr>
              <w:t>Bộ Giao thông vận tải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2026-05-14T00:22:06Z</dcterms:created>
  <dc:creator>Apache POI</dc:creator>
</cp:coreProperties>
</file>