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285/QĐ-BGTVT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ý kiến trong giai đoạn lập dự án đầu tư xây dựng công trình trên tuyến đường thủy nội địa quốc gia; đường thủy nội địa chuyên dùng nối với đường thủy nội địa quốc gia; đường thủy nội địa chuyên dùng đi qua hai tỉnh trở lên; đường thủy nội địa chuyên dùng nối đường thủy nội địa quốc gia với đường thủy nội địa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Trong giai đoạn lập dự án đầu tư xây dựng các công trình liên quan đến giao thông đường thủy nội địa theo quy định, ngoài việc thực hiện quy định của pháp luật về đầu tư xây dựng, chủ đầu tư gửi hồ sơ đến Cục Đường thủy nội địa Việt Nam.</w:t>
      </w:r>
    </w:p>
    <w:p>
      <w:pPr>
        <w:spacing w:after="0" w:before="0" w:lineRule="auto" w:line="276"/>
        <w:jc w:val="both"/>
      </w:pPr>
      <w:r>
        <w:rPr>
          <w:rFonts w:ascii="Times New Roman" w:hAnsi="Times New Roman" w:cs="Times New Roman" w:eastAsia="Times New Roman"/>
          <w:b w:val="false"/>
          <w:sz w:val="26"/>
        </w:rPr>
        <w:t>b) Giải quyết TTHC:
- Cục Đường thủy nội địa Việt Nam tiếp nhận hồ sơ. Trường hợp hồ sơ chưa rõ ràng, đầy đủ theo quy định thì trong thời hạn 02 (hai) ngày làm việc, kể từ ngày nhận được hồ sơ, Cục Đường thủy nội địa Việt Nam phải hướng dẫn tổ chức, cá nhân hoàn thiện hồ sơ;</w:t>
      </w:r>
    </w:p>
    <w:p>
      <w:pPr>
        <w:spacing w:after="0" w:before="0" w:lineRule="auto" w:line="276"/>
        <w:jc w:val="both"/>
      </w:pPr>
      <w:r>
        <w:rPr>
          <w:rFonts w:ascii="Times New Roman" w:hAnsi="Times New Roman" w:cs="Times New Roman" w:eastAsia="Times New Roman"/>
          <w:b w:val="false"/>
          <w:sz w:val="26"/>
        </w:rPr>
        <w:t>- Chậm nhất 05 (năm) ngày làm việc, kể từ ngày nhận đủ hồ sơ hợp lệ, Cục Đường thủy nội địa Việt Nam có văn bản cho ý kiến.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05 (năm)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05 (năm)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theo mẫu quy định. Nội dung văn bản phải ghi rõ vị trí, quy mô công trình, tình hình thủy văn và các kết cấu chính của công trình.</w:t>
            </w:r>
          </w:p>
        </w:tc>
        <w:tc>
          <w:p/>
          <w:p>
            <w:pPr>
              <w:spacing w:after="0" w:before="0" w:lineRule="auto" w:line="276"/>
              <w:jc w:val="left"/>
            </w:pPr>
            <w:r>
              <w:rPr>
                <w:rFonts w:ascii="Times New Roman" w:hAnsi="Times New Roman" w:cs="Times New Roman" w:eastAsia="Times New Roman"/>
                <w:b w:val="false"/>
                <w:sz w:val="26"/>
              </w:rPr>
              <w:t>16.doc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Bình đồ khu vực xây dựng công trình hoặc bản vẽ tỷ lệ thể hiện vị trí công trình với hệ tọa độ, mốc cao độ liên hệ với hệ mốc quốc gia. Trên bình đồ thể hiện cao độ tự nhiên mặt cắt ngang theo phạm vi dọc tuyến đường thủy nội địa đối với khu vực xây dựng công trình (trừ khu vực nuôi trồng thủy sản, hải sản, vùng nước hoạt động dạy nghề, vùng nước neo đậu phương tiện, nhà hàng, khu vui chơi giải trí, khu vực thể thao).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Ngoài hai thành phần hồ sơ nói trên, hồ sơ phải có các tài liệu kèm theo cho từng trường hợp cụ thể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công trình xây dựng cầu vĩnh cửu, cầu tạm: dữ liệu về kích thước khoang thông thuyền (vị trí, khẩu độ cầu, chiều cao tĩnh không); mặt cắt dọc công trình thể hiện trên mặt cắt ngang sông;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cầu quay, cầu cất, cầu nâng hạ, cầu phao, âu tàu, đập, thủy điện, thủy lợi, công trình thủy điện, thủy lợi kết hợp giao thông: Dữ liệu về khoang thông thuyền (vị trí, chiều rộng), thể hiện rõ phương án và công nghệ đóng, mở, bản vẽ thiết kế vùng nước dự kiến bố trí cho phương tiện thủy neo đậu khi chờ đợi, độ sâu tại khoang thông thuyền công trình thủy lợi kết hợp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công trình đường ống, đường dây vượt qua luồng trên không: Bản vẽ, các số liệu về khoang thông thuyền, thể hiện rõ điểm thấp nhất của đường dây, đường ống (điểm thấp nhất của đường dây điện tính cả hành lang an toàn lưới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công trình cảng cá; cảng làm nhiệm vụ an ninh, quốc phòng; công trình phong điện, nhiệt điện; cảng, bến thủy nội địa, bến phà; kè: bản vẽ thể hiện mặt bằng khu vực cảng, bế; công trình kè, chỉnh trị khác; kích thước, kết cấu các cầu cảng, bến, kè, công trình chỉnh trị khác và các công trình phụ trợ; vùng nước cần thiết cho hoạt động của cảng, bến, công trình phong điện, nhiệt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công trình ngầm, đường dây, đường ống  dưới đáy luồng: Bản vẽ thể hiện khoảng cách, cao trình đỉnh công trình đến cao độ tự nhiên đáy luồng,  phạm vi luồng và hành lang luồng đường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khai thác tài nguyên, nạo vét: bản vẽ các mặt cắt ngang và hồ sơ mốc để xác định vị trí nạo vét, đổ đất hoặc khai thác tài nguyên.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khu vực nuôi trồng thủy sản, hải sản, vùng nước hoạt động dạy nghề, vùng nước neo đậu phương tiện, nhà hàng, khu vui chơi giải trí, khu vực thể thao, hồ sơ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theo mẫu quy định. Nội dung văn bản phải ghi rõ vị trí, phạm vi khu vực;</w:t>
            </w:r>
          </w:p>
        </w:tc>
        <w:tc>
          <w:p/>
          <w:p>
            <w:pPr>
              <w:spacing w:after="0" w:before="0" w:lineRule="auto" w:line="276"/>
              <w:jc w:val="left"/>
            </w:pPr>
            <w:r>
              <w:rPr>
                <w:rFonts w:ascii="Times New Roman" w:hAnsi="Times New Roman" w:cs="Times New Roman" w:eastAsia="Times New Roman"/>
                <w:b w:val="false"/>
                <w:sz w:val="26"/>
              </w:rPr>
              <w:t>16.doc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thể hiện phạm vi (chiều dài, chiều rộng) khu vực, phạm vi luồng và hành lang bảo vệ luồng, khoảng cách đến các công trình hiện hữu liên quan khu vực và phương án bố trí báo hiệu bảo đảm an toàn giao thông đường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thủy nội địa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Đường thủy nội địa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Đơn đề nghị hưởng chế độ một lần (bản chính, 01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15/2016/TT-BGTVT</w:t>
            </w:r>
          </w:p>
        </w:tc>
        <w:tc>
          <w:p/>
          <w:p>
            <w:pPr>
              <w:spacing w:after="0" w:before="0" w:lineRule="auto" w:line="276"/>
              <w:jc w:val="left"/>
            </w:pPr>
            <w:r>
              <w:rPr>
                <w:rFonts w:ascii="Times New Roman" w:hAnsi="Times New Roman" w:cs="Times New Roman" w:eastAsia="Times New Roman"/>
                <w:b w:val="false"/>
                <w:sz w:val="26"/>
              </w:rPr>
              <w:t>Quy định về quản lý đường thủy nội địa</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2026-05-27T19:38:18Z</dcterms:created>
  <dc:creator>Apache POI</dc:creator>
</cp:coreProperties>
</file>