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1.007409.000.00.00.H36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hoạt động xây dựng cho tổ chức và cá nhân nước ngoài hoạt động xây dựng tại Việt Nam thực hiện hợp đồng của dự án nhóm B, 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được cấp giấy phép hoạt động xây dựng, nếu có những thay đổi về tên, địa chỉ của nhà thầu, thay đổi các đối tác trong liên danh hoặc nhà thầu phụ hoặc các nội dung khác đã ghi trong giấy phép hoạt động xây dựng được cấp, nhà thầu nước ngoài phải nộp hồ sơ đến Sở Xây dựng để được xem xét điều chỉnh giấy phép hoạt động xây dựng đã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phép hoạt động xây dựng.</w:t>
            </w:r>
          </w:p>
        </w:tc>
        <w:tc>
          <w:p/>
          <w:p>
            <w:pPr>
              <w:spacing w:after="0" w:before="0" w:lineRule="auto" w:line="276"/>
              <w:jc w:val="left"/>
            </w:pPr>
            <w:r>
              <w:rPr>
                <w:rFonts w:ascii="Times New Roman" w:hAnsi="Times New Roman" w:cs="Times New Roman" w:eastAsia="Times New Roman"/>
                <w:b w:val="false"/>
                <w:sz w:val="26"/>
              </w:rPr>
              <w:t>Don de nghi dieu chinh giay phep hoat dong xay dung cho nha thau nuoc ngoai 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cho những nội dung đề nghị điều chỉnh. Các tài liệu phải được dịch ra tiếng Việt và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thành phố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xây dựng của nhà thầu nước ngoài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14/2016/TT-BXD</w:t>
            </w:r>
          </w:p>
        </w:tc>
        <w:tc>
          <w:p/>
          <w:p>
            <w:pPr>
              <w:spacing w:after="0" w:before="0" w:lineRule="auto" w:line="276"/>
              <w:jc w:val="left"/>
            </w:pPr>
            <w:r>
              <w:rPr>
                <w:rFonts w:ascii="Times New Roman" w:hAnsi="Times New Roman" w:cs="Times New Roman" w:eastAsia="Times New Roman"/>
                <w:b w:val="false"/>
                <w:sz w:val="26"/>
              </w:rPr>
              <w:t>Hướng dẫn về cấp giấy phép hoạt động xây dựng và quản lý nhà thầu nước ngoài hoạt động xây dựng tại Việt Nam</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	100/2018/NĐ-CP</w:t>
            </w:r>
          </w:p>
        </w:tc>
        <w:tc>
          <w:p/>
          <w:p>
            <w:pPr>
              <w:spacing w:after="0" w:before="0" w:lineRule="auto" w:line="276"/>
              <w:jc w:val="left"/>
            </w:pPr>
            <w:r>
              <w:rPr>
                <w:rFonts w:ascii="Times New Roman" w:hAnsi="Times New Roman" w:cs="Times New Roman" w:eastAsia="Times New Roman"/>
                <w:b w:val="false"/>
                <w:sz w:val="26"/>
              </w:rPr>
              <w:t>Nghị định 100/2018/NĐ-CP</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172/2016/TT-BTC</w:t>
            </w:r>
          </w:p>
        </w:tc>
        <w:tc>
          <w:p/>
          <w:p>
            <w:pPr>
              <w:spacing w:after="0" w:before="0" w:lineRule="auto" w:line="276"/>
              <w:jc w:val="left"/>
            </w:pPr>
            <w:r>
              <w:rPr>
                <w:rFonts w:ascii="Times New Roman" w:hAnsi="Times New Roman" w:cs="Times New Roman" w:eastAsia="Times New Roman"/>
                <w:b w:val="false"/>
                <w:sz w:val="26"/>
              </w:rPr>
              <w:t>Thông tư 172/2016/TT-BTC</w:t>
            </w:r>
          </w:p>
        </w:tc>
        <w:tc>
          <w:p/>
          <w:p>
            <w:pPr>
              <w:spacing w:after="0" w:before="0" w:lineRule="auto" w:line="276"/>
              <w:jc w:val="left"/>
            </w:pPr>
            <w:r>
              <w:rPr>
                <w:rFonts w:ascii="Times New Roman" w:hAnsi="Times New Roman" w:cs="Times New Roman" w:eastAsia="Times New Roman"/>
                <w:b w:val="false"/>
                <w:sz w:val="26"/>
              </w:rPr>
              <w:t>27-10-2016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18-06-2015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thầu đã được cấp Giấy phép hoạt động xây dựng tại Việt Nam có những thay đổi về tên, địa chỉ của nhà thầu, thay đổi các đối tác trong liên danh hoặc nhà thầu phụ hoặc các nội dung khác đã ghi trong giấy phép hoạt động xây dựng được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2026-05-03T02:35:14Z</dcterms:created>
  <dc:creator>Apache POI</dc:creator>
</cp:coreProperties>
</file>