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trong giai đoạn lập dự án đầu tư xây dựng công trình trên tuyến đường thủy nội địa địa phương; đường thuỷ nội địa chuyên dùng nối với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Trong giai đoạn lập dự án đầu tư xây dựng các công trình liên quan đến giao thông đường thủy nội địa theo quy định, ngoài việc thực hiện quy định của pháp luật về đầu tư xây dựng, chủ đầu tư gửi hồ sơ đến Sở Giao thông vận tải.</w:t>
      </w:r>
    </w:p>
    <w:p>
      <w:pPr>
        <w:spacing w:after="0" w:before="0" w:lineRule="auto" w:line="276"/>
        <w:jc w:val="both"/>
      </w:pPr>
      <w:r>
        <w:rPr>
          <w:rFonts w:ascii="Times New Roman" w:hAnsi="Times New Roman" w:cs="Times New Roman" w:eastAsia="Times New Roman"/>
          <w:b w:val="false"/>
          <w:sz w:val="26"/>
        </w:rPr>
        <w:t>b) Giải quyết TTHC:
- Sở Giao thông vận tải tiếp nhận hồ sơ. Trường hợp hồ sơ chưa rõ ràng, đầy đủ theo quy định thì trong thời hạn 02 (hai) ngày làm việc, kể từ ngày nhận được hồ sơ, Sở Giao thông vận tải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Sở Giao thông vận tải có văn bản cho ý kiến.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05 (năm)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05 (năm)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quy mô công trình, tình hình thủy văn và các kết cấu chính của công trình.</w:t>
            </w:r>
          </w:p>
        </w:tc>
        <w:tc>
          <w:p/>
          <w:p>
            <w:pPr>
              <w:spacing w:after="0" w:before="0" w:lineRule="auto" w:line="276"/>
              <w:jc w:val="left"/>
            </w:pPr>
            <w:r>
              <w:rPr>
                <w:rFonts w:ascii="Times New Roman" w:hAnsi="Times New Roman" w:cs="Times New Roman" w:eastAsia="Times New Roman"/>
                <w:b w:val="false"/>
                <w:sz w:val="26"/>
              </w:rPr>
              <w:t>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xây dựng công trình hoặc bản vẽ tỷ lệ thể hiện vị trí công trình với hệ tọa độ, mốc cao độ liên hệ với hệ mốc quốc gia. Trên bình đồ thể hiện cao độ tự nhiên mặt cắt ngang theo phạm vi dọc tuyến đường thủy nội địa đối với khu vực xây dựng công trình (trừ khu vực nuôi trồng thủy sản, hải sản, vùng nước hoạt động dạy nghề, vùng nước neo đậu phương tiện, nhà hàng, khu vui chơi giải trí, khu vực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hai thành phần hồ sơ nói trên, hồ sơ phải có các tài liệu kèm theo cho từng trường hợp cụ thể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xây dựng cầu vĩnh cửu, cầu tạm: dữ liệu về kích thước khoang thông thuyền (vị trí, khẩu độ cầu, chiều cao tĩnh không); mặt cắt dọc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nâng hạ, cầu phao, âu tàu, đập, thủy điện, thủy lợi, công trình thủy điện, thủy lợi kết hợp giao thông: Dữ liệu về khoang thông thuyền (vị trí, chiều rộng), thể hiện rõ phương án và công nghệ đóng, mở, bản vẽ thiết kế vùng nước dự kiến bố trí cho phương tiện thủy neo đậu khi chờ đợi, độ sâu tại khoang thông thuyền công trình thủy lợi kết hợp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đường ống, đường dây vượt qua luồng trên không: Bản vẽ, các số liệu về khoang thông thuyền, thể hiện rõ điểm thấp nhất của đường dây, đường ống (điểm thấp nhất của đường dây điện tính cả hành lang an toàn lưới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cảng cá; cảng làm nhiệm vụ an ninh, quốc phòng; công trình phong điện, nhiệt điện; cảng, bến thủy nội địa, bến phà; kè: bản vẽ thể hiện mặt bằng khu vực cảng, bế; công trình kè, chỉnh trị khác; kích thước, kết cấu các cầu cảng, bến, kè, công trình chỉnh trị khác và các công trình phụ trợ; vùng nước cần thiết cho hoạt động của cảng, bến, công trình phong điện, nhiệt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độ tự nhiên đáy luồng,  phạm vi luồng và hành lang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khai thác tài nguyên, nạo vét: bản vẽ các mặt cắt ngang và hồ sơ mốc để xác định vị trí nạo vét, đổ đất hoặc khai thác tài nguyên.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khu vực nuôi trồng thủy sản, hải sản, vùng nước hoạt động dạy nghề, vùng nước neo đậu phương tiện, nhà hàng, khu vui chơi giải trí, khu vực thể thao,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phạm vi khu vực;</w:t>
            </w:r>
          </w:p>
        </w:tc>
        <w:tc>
          <w:p/>
          <w:p>
            <w:pPr>
              <w:spacing w:after="0" w:before="0" w:lineRule="auto" w:line="276"/>
              <w:jc w:val="left"/>
            </w:pPr>
            <w:r>
              <w:rPr>
                <w:rFonts w:ascii="Times New Roman" w:hAnsi="Times New Roman" w:cs="Times New Roman" w:eastAsia="Times New Roman"/>
                <w:b w:val="false"/>
                <w:sz w:val="26"/>
              </w:rPr>
              <w:t>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thể hiện phạm vi (chiều dài, chiều rộng) khu vực, phạm vi luồng và hành lang bảo vệ luồng, khoảng cách đến các công trình hiện hữu liên quan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đề nghị hưởng chế độ một lần (bản chính, 01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2026-04-29T10:01:34Z</dcterms:created>
  <dc:creator>Apache POI</dc:creator>
</cp:coreProperties>
</file>