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hạn chế giao thông đường thủy nội địa trong trường hợp thi công công trình trên đường thủy nội địa địa phương; đường thủy nội địa chuyên dùng nối đường thuỷ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trước khi thi công công trình gửi hồ sơ đề nghị công bố hạn chế giao thông theo quy định đến Sở Giao thông vận tải.</w:t>
      </w:r>
    </w:p>
    <w:p>
      <w:pPr>
        <w:spacing w:after="0" w:before="0" w:lineRule="auto" w:line="276"/>
        <w:jc w:val="both"/>
      </w:pPr>
      <w:r>
        <w:rPr>
          <w:rFonts w:ascii="Times New Roman" w:hAnsi="Times New Roman" w:cs="Times New Roman" w:eastAsia="Times New Roman"/>
          <w:b w:val="false"/>
          <w:sz w:val="26"/>
        </w:rPr>
        <w:t>b) Giải quyết TTHC:</w:t>
      </w:r>
    </w:p>
    <w:p>
      <w:pPr>
        <w:spacing w:after="0" w:before="0" w:lineRule="auto" w:line="276"/>
        <w:jc w:val="both"/>
      </w:pPr>
      <w:r>
        <w:rPr>
          <w:rFonts w:ascii="Times New Roman" w:hAnsi="Times New Roman" w:cs="Times New Roman" w:eastAsia="Times New Roman"/>
          <w:b w:val="false"/>
          <w:sz w:val="26"/>
        </w:rPr>
        <w:t>- Sở Giao thông vận tải tiếp nhận hồ sơ. Trường hợp hồ sơ chưa rõ ràng, đầy đủ theo quy định thì hướng dẫn tổ chức, cá nhân hoàn thiện hồ sơ. Thời hạn xem xét và yêu cầu bổ sung hồ sơ không quá 02 (hai) ngày làm việc;</w:t>
      </w:r>
    </w:p>
    <w:p>
      <w:pPr>
        <w:spacing w:after="0" w:before="0" w:lineRule="auto" w:line="276"/>
        <w:jc w:val="both"/>
      </w:pPr>
      <w:r>
        <w:rPr>
          <w:rFonts w:ascii="Times New Roman" w:hAnsi="Times New Roman" w:cs="Times New Roman" w:eastAsia="Times New Roman"/>
          <w:b w:val="false"/>
          <w:sz w:val="26"/>
        </w:rPr>
        <w:t>- Trường hợp phương án bảo đảm an toàn giao thông đã được cơ quan có thẩm quyền chấp thuận thì tổ chức, cá nhân chỉ cần có văn bản đề nghị công bố hạn chế giao thông. Văn bản nêu rõ vị trí, thời gian hạn chế để thi công công trình ảnh hưởng đến luồng đường thủy nội địa;</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Sở Giao thông vận tải có trách nhiệm thực hiện việc công bố hạn chế giao thông đường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bố hạn chế giao thông đường thủy nội địa theo mẫu quy định</w:t>
            </w:r>
          </w:p>
        </w:tc>
        <w:tc>
          <w:p/>
          <w:p>
            <w:pPr>
              <w:spacing w:after="0" w:before="0" w:lineRule="auto" w:line="276"/>
              <w:jc w:val="left"/>
            </w:pPr>
            <w:r>
              <w:rPr>
                <w:rFonts w:ascii="Times New Roman" w:hAnsi="Times New Roman" w:cs="Times New Roman" w:eastAsia="Times New Roman"/>
                <w:b w:val="false"/>
                <w:sz w:val="26"/>
              </w:rPr>
              <w:t>Mẫu.doc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thi công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an toàn giao thông đường thủy nội địa khu vực thi công công trình, bao gồm: + Thuyết minh chung về phương án; + Bản vẽ mặt bằng tổng thể thể hiện phương án bố trí báo hiệu bảo đảm an toàn giao thông, vị trí các trạm điều tiết khống chế, bố trí phương tiện điều tiết khống chế; + Phương án bố trí nhân lực; + Quy chế hướng dẫn phương tiện qua khu vực thi công; + Thời gian thực hiện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bố hạn chế giao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2026-04-29T10:26:37Z</dcterms:created>
  <dc:creator>Apache POI</dc:creator>
</cp:coreProperties>
</file>