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1.007919.000.00.00.H57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dự toán công trình lâm sinh hoặc thẩm định điều chỉnh thiết kế, dự toán công trình lâm sinh sử dụng vốn đầu tư công đối với công trình lâm sinh thuộc dự án do Chủ tịch Ủy ban nhân dân cấp xã quyết định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đầu tư nộp trực tiếp hoặc qua dịch vụ bưu chính hoặc qua môi trường điện tử 01 bộ hồ sơ đến Ủy ban nhân dân cấp xã.
b) Bước 2: Tiếp nhận hồ sơ
Trường hợp nộp hồ sơ trực tiếp: Ủy ban nhân dân cấp xã kiểm tra tính hợp lệ của hồ sơ; trả giấy tiếp nhận hoặc không tiếp nhận ngay cho chủ đầu tư.
Trường hợp nộp hồ sơ qua dịch vụ bưu chính hoặc qua môi trường điện tử: Trong thời hạn 01 ngày làm việc, kể từ ngày nhận được hồ sơ, Ủy ban nhân dân cấp xã kiểm tra tính hợp lệ của hồ sơ; trả giấy tiếp nhận hoặc không tiếp nhận ngay cho chủ đầu tư.
c) Bước 3: Thẩm định
Trong thời gian 07 ngày làm việc kể từ ngày nhận được hồ sơ hợp lệ, cơ quan chuyên môn về nông nghiệp và môi trường cấp xã tổ chức thẩm định, trình Chủ tịch Ủy ban nhân dân cấp xã xem xét, quyết định;
Trong thời gian 02 ngày làm việc kể từ ngày nhận được hồ sơ trình của cơ quan chuyên môn về nông nghiệp và môi trường cấp xã, Chủ tịch Ủy ban nhân dân cấp xã ký Báo cáo kết quả thẩm định thiết kế, dự toán công trình lâm sinh theo Mẫu số 16 Phụ lục I ban hành kèm theo Thông tư số 16/2025/TT-BNNMT ngày 19/6/2025 của Bộ trưởng Bộ Nông nghiệp và Môi trường và thông báo kết quả thẩm định đến chủ đầu tư; trường hợp không ký Báo cáo kết quả thẩm định thiết kế, dự toán công trình lâm sinh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thiết kế, dự toán theo Mẫu số 13 Phụ lục ban hành kèm theo Nghị định số 58/2024/NĐ-CP</w:t>
            </w:r>
          </w:p>
        </w:tc>
        <w:tc>
          <w:p/>
          <w:p>
            <w:pPr>
              <w:spacing w:after="0" w:before="0" w:lineRule="auto" w:line="276"/>
              <w:jc w:val="left"/>
            </w:pPr>
            <w:r>
              <w:rPr>
                <w:rFonts w:ascii="Times New Roman" w:hAnsi="Times New Roman" w:cs="Times New Roman" w:eastAsia="Times New Roman"/>
                <w:b w:val="false"/>
                <w:sz w:val="26"/>
              </w:rPr>
              <w:t>Mus132.docx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thiết kế bao gồm dự toán và bản đồ thiết kế công trình lâm sinh theo Mẫu số 14 Phụ lục ban hành kèm theo Nghị định số 58/2024/NĐ-CP</w:t>
            </w:r>
          </w:p>
        </w:tc>
        <w:tc>
          <w:p/>
          <w:p>
            <w:pPr>
              <w:spacing w:after="0" w:before="0" w:lineRule="auto" w:line="276"/>
              <w:jc w:val="left"/>
            </w:pPr>
            <w:r>
              <w:rPr>
                <w:rFonts w:ascii="Times New Roman" w:hAnsi="Times New Roman" w:cs="Times New Roman" w:eastAsia="Times New Roman"/>
                <w:b w:val="false"/>
                <w:sz w:val="26"/>
              </w:rPr>
              <w:t>Mus142.docx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phê duyệt dự án đầu tư hoặc kế hoạch vốn được giao đối với hoạt động sử dụng kinh phí ngân sách nhà nước và 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các xã, phường, thị trấn - Thành phố 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hoặc qua dịch vụ bưu chính tại Trung tâm Phục vụ hành chính công thành phố hoặc Trung tâm Phục vụ hành chính công cấp xã; - Nộp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kết quả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15/2019/TT-BNNPTNT </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30-10-2019</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58/2024/NĐ-CP</w:t>
            </w:r>
          </w:p>
        </w:tc>
        <w:tc>
          <w:p/>
          <w:p>
            <w:pPr>
              <w:spacing w:after="0" w:before="0" w:lineRule="auto" w:line="276"/>
              <w:jc w:val="left"/>
            </w:pPr>
            <w:r>
              <w:rPr>
                <w:rFonts w:ascii="Times New Roman" w:hAnsi="Times New Roman" w:cs="Times New Roman" w:eastAsia="Times New Roman"/>
                <w:b w:val="false"/>
                <w:sz w:val="26"/>
              </w:rPr>
              <w:t>Nghị định số 58/2024/NĐ-CP ngày 24/5/2024 của Chính phủ về một số chính sách đầu tư trong lâm nghiệp.</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2026-05-22T21:15:48Z</dcterms:created>
  <dc:creator>Apache POI</dc:creator>
</cp:coreProperties>
</file>