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1.008253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xuất khẩu, nhập khẩu sản phẩm mật mã dân sự</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Mật mã dân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Doanh nghiệp lập hồ sơ đề nghị cấp Giấy phép gửi Ban Cơ yếu Chính phủ thông qua Cục Quản lý mật mã dân sự và Kiểm định sản phẩm mật mã. Đại chỉ như sau:
Số điện thoại/số fax: 04-3775.6896;
Thư điện tử: info@nacis.gov.vn
Website: http://www.nacis.gov.vn</w:t>
      </w:r>
    </w:p>
    <w:p>
      <w:pPr>
        <w:spacing w:after="0" w:before="0" w:lineRule="auto" w:line="276"/>
        <w:jc w:val="both"/>
      </w:pPr>
      <w:r>
        <w:rPr>
          <w:rFonts w:ascii="Times New Roman" w:hAnsi="Times New Roman" w:cs="Times New Roman" w:eastAsia="Times New Roman"/>
          <w:b w:val="false"/>
          <w:sz w:val="26"/>
        </w:rPr>
        <w:t>Bước 2: Trong thời hạn 10 ngày làm việc kể từ ngày nhận đủ hồ sơ, Ban Cơ yếu Chính phủ thẩm định và cấp Giấy phép xuất khẩu, nhập khẩu sản phẩm mật mã dân sự cho doanh nghiệp; trường hợp từ chối cấp thì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Luật phí và lệ phí tại Thông tư số 249/2016/TT-BTC)</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Luật phí và lệ phí tại Thông tư số 249/2016/TT-BTC)</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Luật phí và lệ phí tại Thông tư số 249/2016/TT-BTC)</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xuất khẩu, nhập khẩu sản phẩm mật mã dân sự;</w:t>
            </w:r>
          </w:p>
        </w:tc>
        <w:tc>
          <w:p/>
          <w:p>
            <w:pPr>
              <w:spacing w:after="0" w:before="0" w:lineRule="auto" w:line="276"/>
              <w:jc w:val="left"/>
            </w:pPr>
            <w:r>
              <w:rPr>
                <w:rFonts w:ascii="Times New Roman" w:hAnsi="Times New Roman" w:cs="Times New Roman" w:eastAsia="Times New Roman"/>
                <w:b w:val="false"/>
                <w:sz w:val="26"/>
              </w:rPr>
              <w:t>Mẫu Đơn đề nghị Cấp Giấy phép xuất khẩu, nhập khẩu sản phẩm mật mã dân sự.docx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phép kinh doanh sản phẩm, dịch vụ mật mã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Bản sao Giấy chứng nhận hợp quy đối với sản phẩm mật mã dân sự nhập khẩu (trường hợp đề nghị cấp Giấy phép nhập khẩu sản phẩm mật mã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Cơ yếu Chính phủ</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Ban Cơ yếu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xuất khẩu, nhập khẩu sản phẩm mật mã dân sự</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58/2016/NĐ-CP</w:t>
            </w:r>
          </w:p>
        </w:tc>
        <w:tc>
          <w:p/>
          <w:p>
            <w:pPr>
              <w:spacing w:after="0" w:before="0" w:lineRule="auto" w:line="276"/>
              <w:jc w:val="left"/>
            </w:pPr>
            <w:r>
              <w:rPr>
                <w:rFonts w:ascii="Times New Roman" w:hAnsi="Times New Roman" w:cs="Times New Roman" w:eastAsia="Times New Roman"/>
                <w:b w:val="false"/>
                <w:sz w:val="26"/>
              </w:rPr>
              <w:t>Nghị định 58/2016/NĐ-CP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86/2015/QH13</w:t>
            </w:r>
          </w:p>
        </w:tc>
        <w:tc>
          <w:p/>
          <w:p>
            <w:pPr>
              <w:spacing w:after="0" w:before="0" w:lineRule="auto" w:line="276"/>
              <w:jc w:val="left"/>
            </w:pPr>
            <w:r>
              <w:rPr>
                <w:rFonts w:ascii="Times New Roman" w:hAnsi="Times New Roman" w:cs="Times New Roman" w:eastAsia="Times New Roman"/>
                <w:b w:val="false"/>
                <w:sz w:val="26"/>
              </w:rPr>
              <w:t>Luật An toàn thông tin mạng số 86/2015/QH13 được Quốc hội nước Cộng hòa xã hội chủ nghĩa Việt Nam khóa XIII thông qua ngày 19 tháng 11 năm 2015</w:t>
            </w:r>
          </w:p>
        </w:tc>
        <w:tc>
          <w:p/>
          <w:p>
            <w:pPr>
              <w:spacing w:after="0" w:before="0" w:lineRule="auto" w:line="276"/>
              <w:jc w:val="left"/>
            </w:pPr>
            <w:r>
              <w:rPr>
                <w:rFonts w:ascii="Times New Roman" w:hAnsi="Times New Roman" w:cs="Times New Roman" w:eastAsia="Times New Roman"/>
                <w:b w:val="false"/>
                <w:sz w:val="26"/>
              </w:rPr>
              <w:t>19-11-2015</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Giấy phép kinh doanh sản phẩm, dịch vụ mật mã dân sự;
-	Sản phẩm mật mã dân sự nhập khẩu phải được chứng nhận, công bố hợp quy theo quy định của pháp luật;
-	Đối tượng và mục đích sử dụng sản phẩm mật mã dân sự không gây phương hại đến quốc phòng, an ninh quốc gia và trật tự, an toàn xã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2026-05-20T04:43:24Z</dcterms:created>
  <dc:creator>Apache POI</dc:creator>
</cp:coreProperties>
</file>