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tài nguyên đối với cơ sở khai thác tài nguyên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(i) Khai thuế tài nguyên</w:t>
      </w:r>
    </w:p>
    <w:p>
      <w:pPr>
        <w:spacing w:after="0" w:before="0" w:lineRule="auto" w:line="276"/>
        <w:jc w:val="both"/>
      </w:pPr>
      <w:r>
        <w:rPr>
          <w:rFonts w:ascii="Times New Roman" w:hAnsi="Times New Roman" w:cs="Times New Roman" w:eastAsia="Times New Roman"/>
          <w:b w:val="false"/>
          <w:sz w:val="26"/>
        </w:rPr>
        <w:t>+ Bước 1: 
++ Tổ chức, cá nhân khai thác tài nguyên thiên nhiên lập hồ sơ khai thuế và  gửi đến cơ quan thuế quản lý trực tiếp (trường hợp Tổ chức, cá nhân khai thác tài nguyên thiên nhiên có trụ sở chính tại tỉnh, thành phố này nhưng có hoạt động khai thác tài nguyên tại tỉnh, thành phố khác thì nộp hồ sơ khai thuế tại Thuế tỉnh, thành phố hoặc Thuế cơ sở do Trưởng Thuế tỉnh, thành phố nơi phát sinh hoạt động khai thác tài nguyên quy định). 
++ Tổ chức, cá nhân có nhà máy sản xuất thuỷ điện thực hiện khai thuế tài nguyên và nộp hồ sơ khai thuế tài nguyên cho cơ quan thuế quản lý khoản thu ngân sách nhà nước nơi có hoạt động khai thác tài nguyên nước. Trường hợp tổ chức, cá nhân có hoạt động sản xuất thủy điện mà hồ thủy điện của nhà máy thủy điện nằm trên nhiều tỉnh thì nộp hồ sơ khai thuế tài nguyên và phụ lục bảng phân bổ số thuế tài nguyên phải nộp cho các địa phương nơi được hưởng nguồn thu đối với hoạt động sản xuất thủy điện của nhà máy thủy điện tại cơ quan thuế nơi có văn phòng điều hành nhà máy thủy điện và nộp số tiền thuế phân bổ cho tỉnh nơi có hồ thủy điện theo quy định
++ Thời hạn nộp hồ sơ : Chậm nhất là ngày thứ 20 (hai mươi) của tháng tiếp theo tháng phát sinh nghĩa vụ thuế.
++ Tổ chức được giao bán loại tài nguyên thiên nhiên bị bắt giữ, tịch thu; khai thác tài nguyên không thường xuyên đã được cơ quan nhà nước có thẩm quyền cấp phép hoặc không thuộc trường hợp cấp phép theo quy định của pháp luật thì thực hiện nộp hồ sơ kê khai thuế chậm nhất là ngày thứ 10 (mười) kể từ ngày phát sinh nghĩa vụ thuế cho Thuế tỉnh, thành phố hoặc Thuế cơ sở do Trưởng Thuế tỉnh, thành phố nơi bán hoặc khai thác tài nguyên quy định.</w:t>
      </w:r>
    </w:p>
    <w:p>
      <w:pPr>
        <w:spacing w:after="0" w:before="0" w:lineRule="auto" w:line="276"/>
        <w:jc w:val="both"/>
      </w:pPr>
      <w:r>
        <w:rPr>
          <w:rFonts w:ascii="Times New Roman" w:hAnsi="Times New Roman" w:cs="Times New Roman" w:eastAsia="Times New Roman"/>
          <w:b w:val="false"/>
          <w:sz w:val="26"/>
        </w:rPr>
        <w:t>+ Bước 2. Cơ quan thuế tiếp nhận hồ sơ theo quy định.</w:t>
      </w:r>
    </w:p>
    <w:p>
      <w:pPr>
        <w:shd w:val="clear" w:color="auto" w:fill="F2F6F9"/>
        <w:spacing w:after="0" w:before="120" w:lineRule="auto" w:line="276"/>
        <w:jc w:val="both"/>
      </w:pPr>
      <w:r>
        <w:rPr>
          <w:rFonts w:ascii="Times New Roman" w:hAnsi="Times New Roman" w:cs="Times New Roman" w:eastAsia="Times New Roman"/>
          <w:b w:val="true"/>
          <w:sz w:val="26"/>
        </w:rPr>
        <w:t>(ii) Khai quyết toán thuế tài nguyên</w:t>
      </w:r>
    </w:p>
    <w:p>
      <w:pPr>
        <w:spacing w:after="0" w:before="0" w:lineRule="auto" w:line="276"/>
        <w:jc w:val="both"/>
      </w:pPr>
      <w:r>
        <w:rPr>
          <w:rFonts w:ascii="Times New Roman" w:hAnsi="Times New Roman" w:cs="Times New Roman" w:eastAsia="Times New Roman"/>
          <w:b w:val="false"/>
          <w:sz w:val="26"/>
        </w:rPr>
        <w:t>+ Bước 1: 
++ Tổ chức, cá nhân khai thác tài nguyên thiên nhiên lập hồ sơ khai quyết toán thuế tài nguyên và gửi đến cơ quan thuế quản lý trực tiếp (trường hợp Tổ chức, cá nhân khai thác tài nguyên thiên nhiên có trụ sở chính tại tỉnh, thành phố này nhưng có hoạt động khai thác tài nguyên tại tỉnh, thành phố khác thì nộp hồ sơ khai thuế tại Thuế tỉnh, thành phố hoặc Thuế cơ sở do Trưởng Thuế tỉnh, thành phố nơi phát sinh hoạt động khai thác tài nguyên quy định).
++ Tổ chức, cá nhân có nhà máy sản xuất thuỷ điện thực hiện lập hồ sơ khai quyết toán thuế tài nguyên, gửi cho cơ quan thuế quản lý khoản thu ngân sách nhà nước nơi có hoạt động khai thác tài nguyên nước.  Trường hợp tổ chức, cá nhân có hoạt động sản xuất thủy điện mà hồ thủy điện của nhà máy thủy điện nằm trên nhiều tỉnh thì nộp hồ sơ khai quyết toán thuế tài nguyên và phụ lục bảng phân bổ số thuế tài nguyên phải nộp cho các địa phương nơi được hưởng nguồn thu đối với hoạt động sản xuất thủy điện của nhà máy thủy điện tại cơ quan thuế nơi có văn phòng điều hành nhà máy thủy điện và nộp số tiền thuế phân bổ cho tỉnh nơi có hồ thủy điện theo quy định.
++ Thời hạn nộp hồ sơ: Chậm nhất là ngày cuối cùng của tháng thứ 3 kể từ ngày kết thúc năm dương lịch hoặc năm tài chính hoặc là ngày thứ 45 kể từ ngày chấm dứt hoạt động, chấm dứt hợp đồng hoặc tổ chức lại doanh nghiệp.
+ Bước 2: Cơ quan thuế tiếp nhận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qua Cổng DVC Quốc gia đối với các TTHC đã toàn trình và được tích hợp, kết nối với Cổng dịch vụ công của Bộ Tài chính theo quy định về thực hiện cơ chế một cửa, một cửa liên thông trong giải quyết thủ tục hành chính/ các Hệ thống thông tin điện tử, hệ thống thông tin giải quyết TTHC của Cục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tỉnh/thành phố, 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152/2015/TT-BTC</w:t>
            </w:r>
          </w:p>
        </w:tc>
        <w:tc>
          <w:p/>
          <w:p>
            <w:pPr>
              <w:spacing w:after="0" w:before="0" w:lineRule="auto" w:line="276"/>
              <w:jc w:val="left"/>
            </w:pPr>
            <w:r>
              <w:rPr>
                <w:rFonts w:ascii="Times New Roman" w:hAnsi="Times New Roman" w:cs="Times New Roman" w:eastAsia="Times New Roman"/>
                <w:b w:val="false"/>
                <w:sz w:val="26"/>
              </w:rPr>
              <w:t>Thông tư 152/2015/TT-BTC</w:t>
            </w:r>
          </w:p>
        </w:tc>
        <w:tc>
          <w:p/>
          <w:p>
            <w:pPr>
              <w:spacing w:after="0" w:before="0" w:lineRule="auto" w:line="276"/>
              <w:jc w:val="left"/>
            </w:pPr>
            <w:r>
              <w:rPr>
                <w:rFonts w:ascii="Times New Roman" w:hAnsi="Times New Roman" w:cs="Times New Roman" w:eastAsia="Times New Roman"/>
                <w:b w:val="false"/>
                <w:sz w:val="26"/>
              </w:rPr>
              <w:t>02-10-2015</w:t>
            </w:r>
          </w:p>
        </w:tc>
        <w:tc>
          <w:p/>
        </w:tc>
      </w:tr>
      <w:tr>
        <w:tc>
          <w:p/>
          <w:p>
            <w:pPr>
              <w:spacing w:after="0" w:before="0" w:lineRule="auto" w:line="276"/>
              <w:jc w:val="left"/>
            </w:pPr>
            <w:r>
              <w:rPr>
                <w:rFonts w:ascii="Times New Roman" w:hAnsi="Times New Roman" w:cs="Times New Roman" w:eastAsia="Times New Roman"/>
                <w:b w:val="false"/>
                <w:sz w:val="26"/>
              </w:rPr>
              <w:t>12/2015/NĐ-CP</w:t>
            </w:r>
          </w:p>
        </w:tc>
        <w:tc>
          <w:p/>
          <w:p>
            <w:pPr>
              <w:spacing w:after="0" w:before="0" w:lineRule="auto" w:line="276"/>
              <w:jc w:val="left"/>
            </w:pPr>
            <w:r>
              <w:rPr>
                <w:rFonts w:ascii="Times New Roman" w:hAnsi="Times New Roman" w:cs="Times New Roman" w:eastAsia="Times New Roman"/>
                <w:b w:val="false"/>
                <w:sz w:val="26"/>
              </w:rPr>
              <w:t>Nghị định 12/2015/NĐ-CP</w:t>
            </w:r>
          </w:p>
        </w:tc>
        <w:tc>
          <w:p/>
          <w:p>
            <w:pPr>
              <w:spacing w:after="0" w:before="0" w:lineRule="auto" w:line="276"/>
              <w:jc w:val="left"/>
            </w:pPr>
            <w:r>
              <w:rPr>
                <w:rFonts w:ascii="Times New Roman" w:hAnsi="Times New Roman" w:cs="Times New Roman" w:eastAsia="Times New Roman"/>
                <w:b w:val="false"/>
                <w:sz w:val="26"/>
              </w:rPr>
              <w:t>12-02-2015</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45/2009/QH12</w:t>
            </w:r>
          </w:p>
        </w:tc>
        <w:tc>
          <w:p/>
          <w:p>
            <w:pPr>
              <w:spacing w:after="0" w:before="0" w:lineRule="auto" w:line="276"/>
              <w:jc w:val="left"/>
            </w:pPr>
            <w:r>
              <w:rPr>
                <w:rFonts w:ascii="Times New Roman" w:hAnsi="Times New Roman" w:cs="Times New Roman" w:eastAsia="Times New Roman"/>
                <w:b w:val="false"/>
                <w:sz w:val="26"/>
              </w:rPr>
              <w:t>Luật 45/2009/QH12</w:t>
            </w:r>
          </w:p>
        </w:tc>
        <w:tc>
          <w:p/>
          <w:p>
            <w:pPr>
              <w:spacing w:after="0" w:before="0" w:lineRule="auto" w:line="276"/>
              <w:jc w:val="left"/>
            </w:pPr>
            <w:r>
              <w:rPr>
                <w:rFonts w:ascii="Times New Roman" w:hAnsi="Times New Roman" w:cs="Times New Roman" w:eastAsia="Times New Roman"/>
                <w:b w:val="false"/>
                <w:sz w:val="26"/>
              </w:rPr>
              <w:t>26-11-2009</w:t>
            </w:r>
          </w:p>
        </w:tc>
        <w:tc>
          <w:p/>
        </w:tc>
      </w:tr>
      <w:tr>
        <w:tc>
          <w:p/>
          <w:p>
            <w:pPr>
              <w:spacing w:after="0" w:before="0" w:lineRule="auto" w:line="276"/>
              <w:jc w:val="left"/>
            </w:pPr>
            <w:r>
              <w:rPr>
                <w:rFonts w:ascii="Times New Roman" w:hAnsi="Times New Roman" w:cs="Times New Roman" w:eastAsia="Times New Roman"/>
                <w:b w:val="false"/>
                <w:sz w:val="26"/>
              </w:rPr>
              <w:t>60/2010/QH12</w:t>
            </w:r>
          </w:p>
        </w:tc>
        <w:tc>
          <w:p/>
          <w:p>
            <w:pPr>
              <w:spacing w:after="0" w:before="0" w:lineRule="auto" w:line="276"/>
              <w:jc w:val="left"/>
            </w:pPr>
            <w:r>
              <w:rPr>
                <w:rFonts w:ascii="Times New Roman" w:hAnsi="Times New Roman" w:cs="Times New Roman" w:eastAsia="Times New Roman"/>
                <w:b w:val="false"/>
                <w:sz w:val="26"/>
              </w:rPr>
              <w:t>Luật 60/2010/QH12</w:t>
            </w:r>
          </w:p>
        </w:tc>
        <w:tc>
          <w:p/>
          <w:p>
            <w:pPr>
              <w:spacing w:after="0" w:before="0" w:lineRule="auto" w:line="276"/>
              <w:jc w:val="left"/>
            </w:pPr>
            <w:r>
              <w:rPr>
                <w:rFonts w:ascii="Times New Roman" w:hAnsi="Times New Roman" w:cs="Times New Roman" w:eastAsia="Times New Roman"/>
                <w:b w:val="false"/>
                <w:sz w:val="26"/>
              </w:rPr>
              <w:t>18-11-2010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50/2010/NĐ-CP</w:t>
            </w:r>
          </w:p>
        </w:tc>
        <w:tc>
          <w:p/>
          <w:p>
            <w:pPr>
              <w:spacing w:after="0" w:before="0" w:lineRule="auto" w:line="276"/>
              <w:jc w:val="left"/>
            </w:pPr>
            <w:r>
              <w:rPr>
                <w:rFonts w:ascii="Times New Roman" w:hAnsi="Times New Roman" w:cs="Times New Roman" w:eastAsia="Times New Roman"/>
                <w:b w:val="false"/>
                <w:sz w:val="26"/>
              </w:rPr>
              <w:t>Nghị định 50/2010/NĐ-CP</w:t>
            </w:r>
          </w:p>
        </w:tc>
        <w:tc>
          <w:p/>
          <w:p>
            <w:pPr>
              <w:spacing w:after="0" w:before="0" w:lineRule="auto" w:line="276"/>
              <w:jc w:val="left"/>
            </w:pPr>
            <w:r>
              <w:rPr>
                <w:rFonts w:ascii="Times New Roman" w:hAnsi="Times New Roman" w:cs="Times New Roman" w:eastAsia="Times New Roman"/>
                <w:b w:val="false"/>
                <w:sz w:val="26"/>
              </w:rPr>
              <w:t>15-05-2010</w:t>
            </w:r>
          </w:p>
        </w:tc>
        <w:tc>
          <w:p/>
        </w:tc>
      </w:tr>
      <w:tr>
        <w:tc>
          <w:p/>
          <w:p>
            <w:pPr>
              <w:spacing w:after="0" w:before="0" w:lineRule="auto" w:line="276"/>
              <w:jc w:val="left"/>
            </w:pPr>
            <w:r>
              <w:rPr>
                <w:rFonts w:ascii="Times New Roman" w:hAnsi="Times New Roman" w:cs="Times New Roman" w:eastAsia="Times New Roman"/>
                <w:b w:val="false"/>
                <w:sz w:val="26"/>
              </w:rPr>
              <w:t>66.16</w:t>
            </w:r>
          </w:p>
        </w:tc>
        <w:tc>
          <w:p/>
          <w:p>
            <w:pPr>
              <w:spacing w:after="0" w:before="0" w:lineRule="auto" w:line="276"/>
              <w:jc w:val="left"/>
            </w:pPr>
            <w:r>
              <w:rPr>
                <w:rFonts w:ascii="Times New Roman" w:hAnsi="Times New Roman" w:cs="Times New Roman" w:eastAsia="Times New Roman"/>
                <w:b w:val="false"/>
                <w:sz w:val="26"/>
              </w:rPr>
              <w:t>Nghị quyết số 66.16/2026/NQ-CP ngày 7 tháng 4 năm 2026 của Chính phủ: Cắt giảm, đơn giản hóa thủ tục hành chính, quy định liên quan đến hoạt động sản xuất, kinh doanh sửa đổi, bổ sung một số điều của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2026-05-26T18:45:19Z</dcterms:created>
  <dc:creator>Apache POI</dc:creator>
</cp:coreProperties>
</file>