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bảo vệ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tờ khai và gửi đến cơ quan thuế chậm nhất vào ngày 20 của tháng sau tháng phát sinh, cụ thể như sau: 
++ Người nộp thuế nộp hồ sơ khai thuế bảo vệ môi trường tại nơi sản xuất hàng hoá chịu thuế bảo vệ môi trường, nơi sản xuất, kinh doanh than, trừ thuế bảo vệ môi trường của hoạt động kinh doanh xăng dầu (quy định tại điểm a khoản 4 Điều 11 Nghị định số 126/2020/NĐ-CP), thuế bảo vệ môi trường của than khai thác và tiêu thụ nội địa (quy định tại điểm b khoản 4 Điều 11 Nghị định số 126/2020/NĐ-CP).
++ Đối với hoạt động kinh doanh xăng dầu:
+++ Thương nhân đầu mối trực tiếp nhập khẩu, sản xuất, pha chế xăng dầu nộp hồ sơ khai thuế đến cơ quan thuế quản lý trực tiếp đối với lượng xăng dầu do các thương nhân đầu mối trực tiếp xuất, bán bao gồm xuất để tiêu dùng nội bộ, xuất để trao đổi sản phẩm hàng hoá khác, xuất trả hàng nhập khẩu ủy thác, bán cho tổ chức, cá nhân khác không phải là các đơn vị phụ thuộc, công ty con theo quy định tại Luật Doanh nghiệp của thương nhân đầu mối; trừ lượng xăng dầu xuất bán và nhập khẩu ủy thác cho thương nhân đầu mối khác.
+++Các công ty con theo quy định tại Luật Doanh nghiệp của thương nhân đầu mối hoặc các đơn vị phụ thuộc của các công ty con, các đơn vị phụ thuộc của thương nhân đầu mối nộp hồ sơ khai thuế đến cơ quan thuế quản lý trực tiếp đối với lượng xăng dầu xuất, bán cho tổ chức, cá nhân khác không phải là công ty con theo quy định tại Luật Doanh nghiệp của thương nhân đầu mối và đơn vị phụ thuộc của công ty con.
+++ Thương nhân đầu mối hoặc công ty con theo quy định tại Luật Doanh nghiệp của thương nhân đầu mối có đơn vị phụ thuộc kinh doanh tại địa phương khác tỉnh, thành phố trực thuộc trung ương với nơi thương nhân đầu mối, công ty con của thương nhân đầu mối đóng trụ sở mà đơn vị phụ thuộc không hạch toán kế toán để khai riêng được thuế bảo vệ môi trường thì thương nhân đầu mối, công ty con của thương nhân đầu mối thực hiện khai thuế bảo vệ môi trường đến cơ quan thuế quản lý trực tiếp; tính thuế, phân bổ nghĩa vụ thuế phải nộp cho từng địa phương nơi có đơn vị phụ thuộc đóng trụ sở theo quy định của Bộ trưởng Bộ Tài chính.
++ Đối với than khai thác và tiêu thụ nội địa:
Doanh nghiệp có hoạt động khai thác và tiêu thụ than nội địa thông qua hình thức quản lý và giao cho các công ty con hoặc đơn vị phụ thuộc khai thác, chế biến và tiêu thụ thì đơn vị thực hiện nhiệm vụ tiêu thụ than thực hiện khai thuế cho toàn bộ số thuế bảo vệ môi trường phát sinh đối với than khai thác thuộc diện chịu thuế và nộp hồ sơ khai thuế đến cơ quan thuế quản lý trực tiếp kèm theo Bảng xác định số thuế phải nộp cho từng địa phương nơi có công ty khai thác than đóng trụ sở theo quy định của Bộ trưởng Bộ Tài chính.</w:t>
      </w:r>
    </w:p>
    <w:p>
      <w:pPr>
        <w:spacing w:after="0" w:before="0" w:lineRule="auto" w:line="276"/>
        <w:jc w:val="both"/>
      </w:pPr>
      <w:r>
        <w:rPr>
          <w:rFonts w:ascii="Times New Roman" w:hAnsi="Times New Roman" w:cs="Times New Roman" w:eastAsia="Times New Roman"/>
          <w:b w:val="false"/>
          <w:sz w:val="26"/>
        </w:rPr>
        <w:t>+ Bước 2: Cơ quan thuế tiếp nhận:
++ Cơ quan quản lý thuế tiếp nhận hồ sơ khai thuế, thông báo về việc tiếp nhận hồ sơ khai thuế; trường hợp hồ sơ không hợp pháp, không đầy đủ, không đúng mẫu quy định thì thông báo cho người nộp thuế trong thời hạn 03 ngày làm việc kể từ ngày tiếp nhận hồ sơ.
++Trường hợp tiếp nhận hồ sơ qua Cổng thông tin điện tử của Cục Thuế, cơ quan thuế thực hiện tiếp nhận, kiểm tra, giải quyết hồ sơ thông qua hệ thống xử lý dữ liệu điện tử của cơ quan thuế:
+++ Cổng thông tin điện tử của Cục Thuế gửi thông báo tiếp nhận việc NNT đã nộp hồ sơ hoặc thông báo lý do không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khai thuế điện tử của người nộp thuế
+++ Cơ quan thuế thực hiện kiểm tra, giải quyết hồ sơ khai thuế của NNT theo quy định của Luật Quản lý thuế và các văn bản hướng dẫn thi hành, gửi thông báo chấp nhận/không chấp nhận hồ sơ đến Cổng thông tin điện tử mà NNT lựa chọn lập và gửi hồ sơ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Cổng dịch vụ công quốc gia đối với các thủ tục hành chính đã toàn trình và được tích hợp, kết nối với Cổng dịch vụ công của Bộ Tài chính theo quy định về thực hiện cơ chế một cửa, một cửa liên thông trong giải quyết thủ tục hành chính/các Hệ thống thông tin điện tử, hệ thống thông tin giải quyết thủ tục hành chính của Cục Thuế, Cổng thông tin của tổ chức cung cấp dịch vụ T-VAN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BVMT mẫu số 01/TBVMT theo Phụ lục 1 Danh mục hồ sơ khai thuế ban hành kèm theo Nghị định số 126/2020/NĐ-CP ngày 19/10/2020 của Chính phủ quy định chi tiết một số điều của Luật Quản lý thuế và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01TBVMTtkhaithubvmt.doc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bảng xác định số thuế bảo vệ môi trường phải nộp cho các địa phương nơi được hưởng nguồn thu đối với than mẫu số 01-1/TBVMT theo Phụ lục 1 Danh mục hồ sơ khai thuế ban hành kèm theo Nghị định số 126/2020/NĐ-CP ngày 19/10/2020 của Chính phủ quy định chi tiết một số điều của Luật Quản lý thuế và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 (trường hợp người nộp thuế thực hiện phân bổ thuế BVMT phải nộp của mặt hàng xăng dầu cho từng địa phương nơi có đơn vị phụ thuộc đóng trụ sở theo quy định);</w:t>
            </w:r>
          </w:p>
        </w:tc>
        <w:tc>
          <w:p/>
          <w:p>
            <w:pPr>
              <w:spacing w:after="0" w:before="0" w:lineRule="auto" w:line="276"/>
              <w:jc w:val="left"/>
            </w:pPr>
            <w:r>
              <w:rPr>
                <w:rFonts w:ascii="Times New Roman" w:hAnsi="Times New Roman" w:cs="Times New Roman" w:eastAsia="Times New Roman"/>
                <w:b w:val="false"/>
                <w:sz w:val="26"/>
              </w:rPr>
              <w:t>011TBVMTbngxthubvmtphinpvthan.doc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Phụ lục bảng phân bổ số thuế bảo vệ môi trường phải nộp cho các địa phương nơi được hưởng nguồn thu đối với xăng dầu mẫu số 01-2/TBVMT theo Phụ lục 1 Danh mục hồ sơ khai thuế ban hành kèm theo Nghị định số 126/2020/NĐ-CP ngày 19/10/2020 của Chính phủ quy định chi tiết một số điều của Luật Quản lý thuế và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 (trường hợp người nộp thuế xác định số thuế phải nộp cho từng địa phương nơi có công ty khai thác than đóng trụ sở theo quy định).</w:t>
            </w:r>
          </w:p>
        </w:tc>
        <w:tc>
          <w:p/>
          <w:p>
            <w:pPr>
              <w:spacing w:after="0" w:before="0" w:lineRule="auto" w:line="276"/>
              <w:jc w:val="left"/>
            </w:pPr>
            <w:r>
              <w:rPr>
                <w:rFonts w:ascii="Times New Roman" w:hAnsi="Times New Roman" w:cs="Times New Roman" w:eastAsia="Times New Roman"/>
                <w:b w:val="false"/>
                <w:sz w:val="26"/>
              </w:rPr>
              <w:t>01-2TBVMTbngphnbthubvmtvxngdu.doc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phố/Chi cục Thuế doanh nghiệp lớn.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67/2011/NĐ-CP</w:t>
            </w:r>
          </w:p>
        </w:tc>
        <w:tc>
          <w:p/>
          <w:p>
            <w:pPr>
              <w:spacing w:after="0" w:before="0" w:lineRule="auto" w:line="276"/>
              <w:jc w:val="left"/>
            </w:pPr>
            <w:r>
              <w:rPr>
                <w:rFonts w:ascii="Times New Roman" w:hAnsi="Times New Roman" w:cs="Times New Roman" w:eastAsia="Times New Roman"/>
                <w:b w:val="false"/>
                <w:sz w:val="26"/>
              </w:rPr>
              <w:t>Nghị định 67/2011/NĐ-CP</w:t>
            </w:r>
          </w:p>
        </w:tc>
        <w:tc>
          <w:p/>
          <w:p>
            <w:pPr>
              <w:spacing w:after="0" w:before="0" w:lineRule="auto" w:line="276"/>
              <w:jc w:val="left"/>
            </w:pPr>
            <w:r>
              <w:rPr>
                <w:rFonts w:ascii="Times New Roman" w:hAnsi="Times New Roman" w:cs="Times New Roman" w:eastAsia="Times New Roman"/>
                <w:b w:val="false"/>
                <w:sz w:val="26"/>
              </w:rPr>
              <w:t>09-08-2011</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2026-05-27T20:30:12Z</dcterms:created>
  <dc:creator>Apache POI</dc:creator>
</cp:coreProperties>
</file>