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1.008326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216/QĐ-BTC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Khai thuế tạm tính đối với hoạt động khai thác, xuất bán dầu thô, khí thiên nhiên/Khai quyết toán thuế TNDN đối với hoạt động khai thác, xuất bán dầu thô, khí thiên nhiên (trừ Lô 09.1)</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Thuế</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(i) Trường hợp khai thuế tạm tính đối với hoạt động khai thác, xuất bán dầu thô, khí thiên nhiên:</w:t>
      </w:r>
    </w:p>
    <w:p>
      <w:pPr>
        <w:spacing w:after="0" w:before="0" w:lineRule="auto" w:line="276"/>
        <w:jc w:val="both"/>
      </w:pPr>
      <w:r>
        <w:rPr>
          <w:rFonts w:ascii="Times New Roman" w:hAnsi="Times New Roman" w:cs="Times New Roman" w:eastAsia="Times New Roman"/>
          <w:b w:val="false"/>
          <w:sz w:val="26"/>
        </w:rPr>
        <w:t>+ Bước 1. Người nộp thuế chuẩn bị số liệu, lập hồ sơ khai thuế và gửi đến cơ quan thuế quản lý trực tiếp người nộp thuế:
++ Đối với dầu thô, condensate: chậm nhất là ngày thứ 35 kể từ ngày xuất bán dầu thô, condensate. Ngày xuất bán là ngày hoàn thành việc xuất bán dầu thô, condensate tại điểm giao nhận. Trường hợp ngày thứ 35 trùng với ngày nghỉ theo quy định thì thời hạn nộp hồ sơ khai thuế được tính là ngày làm việc tiếp theo của ngày nghỉ đó.
++ Đối với khí thiên nhiên: chậm nhất là ngày thứ 20 của tháng tiếp theo tháng phát sinh nghĩa vụ thuế. Trường hợp ngày thứ 20 là ngày nghỉ theo quy định thì thời hạn nộp hồ sơ khai thuế được tính là ngày làm việc tiếp theo của ngày nghỉ đó.</w:t>
      </w:r>
    </w:p>
    <w:p>
      <w:pPr>
        <w:spacing w:after="0" w:before="0" w:lineRule="auto" w:line="276"/>
        <w:jc w:val="both"/>
      </w:pPr>
      <w:r>
        <w:rPr>
          <w:rFonts w:ascii="Times New Roman" w:hAnsi="Times New Roman" w:cs="Times New Roman" w:eastAsia="Times New Roman"/>
          <w:b w:val="false"/>
          <w:sz w:val="26"/>
        </w:rPr>
        <w:t>+ Bước 2. Cơ quan thuế tiếp nhận:
Cơ quan quản lý thuế tiếp nhận hồ sơ khai thuế, thông báo về việc tiếp nhận hồ sơ khai thuế; trường hợp hồ sơ không hợp pháp, không đầy đủ, không đúng mẫu quy định thì thông báo cho người nộp thuế trong thời hạn 03 ngày làm việc kể từ ngày tiếp nhận hồ sơ.
Trường hợp tiếp nhận hồ sơ khai thuế điện tử, cơ quan thuế thực hiện tiếp nhận, kiểm tra, giải quyết hồ sơ thông qua hệ thống xử lý dữ liệu điện tử của cơ quan thuế:
++ Cổng thông tin điện tử của Cục Thuế gửi thông báo tiếp nhận việc NNT đã nộp hồ sơ hoặc thông báo lý do không tiếp nhận hồ sơ cho NNT qua Cổng thông tin điện tử mà người nộp thuế lựa chọn lập và gửi hồ sơ (Cổng dịch vụ công quốc gia đối với các thủ tục hành chính đã toàn trình và được tích hợp, kết nối với Cổng dịch vụ công của Bộ Tài chính theo quy định về thực hiện cơ chế một cửa, một cửa liên thông trong giải quyết thủ tục hành chính/các Hệ thống thông tin điện tử, hệ thống thông tin giải quyết thủ tục hành chính của Cục Thuế, Cổng thông tin của tổ chức cung cấp dịch vụ T-VAN theo quy định) chậm nhất 15 phút kể từ khi nhận được hồ sơ khai thuế điện tử của người nộp thuế.
++ Cơ quan thuế thực hiện kiểm tra, giải quyết hồ sơ khai thuế của NNT theo quy định của Luật Quản lý thuế và các văn bản hướng dẫn thi hành, gửi thông báo chấp nhận/không chấp nhận hồ sơ đến Cổng thông tin điện tử mà NNT lựa chọn lập và gửi hồ sơ chậm nhất 01 ngày làm việc kể từ ngày ghi trên thông báo tiếp nhận nộp hồ sơ khai thuế điện tử.</w:t>
      </w:r>
    </w:p>
    <w:p>
      <w:pPr>
        <w:shd w:val="clear" w:color="auto" w:fill="F2F6F9"/>
        <w:spacing w:after="0" w:before="120" w:lineRule="auto" w:line="276"/>
        <w:jc w:val="both"/>
      </w:pPr>
      <w:r>
        <w:rPr>
          <w:rFonts w:ascii="Times New Roman" w:hAnsi="Times New Roman" w:cs="Times New Roman" w:eastAsia="Times New Roman"/>
          <w:b w:val="true"/>
          <w:sz w:val="26"/>
        </w:rPr>
        <w:t>(ii) Trường hợp Khai quyết toán thuế TNDN đối với hoạt động khai thác, xuất bán dầu thô, khí thiên nhiên (trừ Lô 09.1):</w:t>
      </w:r>
    </w:p>
    <w:p>
      <w:pPr>
        <w:spacing w:after="0" w:before="0" w:lineRule="auto" w:line="276"/>
        <w:jc w:val="both"/>
      </w:pPr>
      <w:r>
        <w:rPr>
          <w:rFonts w:ascii="Times New Roman" w:hAnsi="Times New Roman" w:cs="Times New Roman" w:eastAsia="Times New Roman"/>
          <w:b w:val="false"/>
          <w:sz w:val="26"/>
        </w:rPr>
        <w:t>+ Bước 1. Người nộp thuế chuẩn bị số liệu, lập hồ sơ khai thuế và gửi đến cơ quan thuế quản lý trực tiếp người nộp thuế chậm nhất là ngày cuối cùng của tháng thứ 3 kể từ ngày kết thúc năm dương lịch hoặc năm tài chính; Chậm nhất là ngày thứ 45 (bốn mươi lăm) kể từ ngày kết thúc hợp đồng dầu khí.
Trường hợp ngày cuối cùng của thời hạn khai, nộp thuế trùng với ngày nghỉ theo quy định thì thời hạn nộp hồ sơ khai thuế được tính là ngày làm việc tiếp theo của ngày nghỉ đó.</w:t>
      </w:r>
    </w:p>
    <w:p>
      <w:pPr>
        <w:spacing w:after="0" w:before="0" w:lineRule="auto" w:line="276"/>
        <w:jc w:val="both"/>
      </w:pPr>
      <w:r>
        <w:rPr>
          <w:rFonts w:ascii="Times New Roman" w:hAnsi="Times New Roman" w:cs="Times New Roman" w:eastAsia="Times New Roman"/>
          <w:b w:val="false"/>
          <w:sz w:val="26"/>
        </w:rPr>
        <w:t>+ Bước 2. Cơ quan thuế tiếp nhận:
Cơ quan quản lý thuế tiếp nhận hồ sơ khai thuế, thông báo về việc tiếp nhận hồ sơ khai thuế; trường hợp hồ sơ không hợp pháp, không đầy đủ, không đúng mẫu quy định thì thông báo cho người nộp thuế trong thời hạn 03 ngày làm việc kể từ ngày tiếp nhận hồ sơ.
Trường hợp tiếp nhận hồ sơ khai thuế điện tử, cơ quan thuế thực hiện tiếp nhận, kiểm tra, giải quyết hồ sơ thông qua hệ thống xử lý dữ liệu điện tử của cơ quan thuế:
++ Cổng thông tin điện tử của Cục Thuế  gửi thông báo tiếp nhận việc NNT đã nộp hồ sơ hoặc thông báo lý do không tiếp nhận hồ sơ cho NNT qua Cổng thông tin điện tử mà người nộp thuế lựa chọn lập và gửi hồ sơ (Cổng dịch vụ công quốc gia đối với các thủ tục hành chính đã toàn trình và được tích hợp, kết nối với Cổng dịch vụ công của Bộ Tài chính theo quy định về thực hiện cơ chế một cửa, một cửa liên thông trong giải quyết thủ tục hành chính/các Hệ thống thông tin điện tử, hệ thống thông tin giải quyết thủ tục hành chính của Cục Thuế, Cổng thông tin của tổ chức cung cấp dịch vụ T-VAN theo quy định) chậm nhất 15 phút kể từ khi nhận được hồ sơ khai thuế điện tử của người nộp thuế.
++ Cơ quan thuế thực hiện kiểm tra, giải quyết hồ sơ khai thuế của NNT theo quy định của Luật Quản lý thuế và các văn bản hướng dẫn thi hành, gửi thông báo chấp nhận/không chấp nhận hồ sơ đến Cổng thông tin điện tử mà NNT lựa chọn lập và gửi hồ sơ chậm nhất 01 ngày làm việc kể từ ngày ghi trên thông báo tiếp nhận nộp hồ sơ khai thuế điện tử.</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Không phải trả kết quả cho người nộp thuế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Tại Trung tâm phục vụ hành chính công cấp tỉnh, xã</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Không phải trả kết quả cho người nộp thuế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Qua Cổng dịch vụ công quốc gia đối với các thủ tục hành chính đã toàn trình và được tích hợp, kết nối với Cổng dịch vụ công của Bộ Tài chính theo quy định về thực hiện cơ chế một cửa, một cửa liên thông trong giải quyết thủ tục hành chính/các Hệ thống thông tin điện tử, hệ thống thông tin giải quyết thủ tục hành chính của Cục Thuế, Cổng thông tin của tổ chức cung cấp dịch vụ T-VAN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Không phải trả kết quả cho người nộp thuế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Thông qua dịch vụ bưu chính công ích theo quy định của Thủ tướng Chính phủ, qua thuê dịch vụ của doanh nghiệp, cá nhân hoặc qua ủy quyền theo quy định của pháp luật</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Trường hợp (1) khai thuế tạm tính đối với hoạt động khai thác, xuất bán dầu thô, khí thiên nhiên: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thuế tạm tính đối với dầu khí Mẫu số 01/TK-DK ban hành kèm theo Phụ lục I Danh mục hồ sơ khai thuế Nghị định số 373/2025/NĐ-CP ngày 31/12/2025 của Chính phủ sửa đổi, bổ sung một số điều của Nghị định số 126/2020/NĐ-CP ngày 19/10/2020 của Chính phủ quy định chi tiết một số điều của Luật Quản lý thuế</w:t>
            </w:r>
          </w:p>
        </w:tc>
        <w:tc>
          <w:p/>
          <w:p>
            <w:pPr>
              <w:spacing w:after="0" w:before="0" w:lineRule="auto" w:line="276"/>
              <w:jc w:val="left"/>
            </w:pPr>
            <w:r>
              <w:rPr>
                <w:rFonts w:ascii="Times New Roman" w:hAnsi="Times New Roman" w:cs="Times New Roman" w:eastAsia="Times New Roman"/>
                <w:b w:val="false"/>
                <w:sz w:val="26"/>
              </w:rPr>
              <w:t>Mu01TNDN-DK.docx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Phụ lục chi tiết nghĩa vụ thuế của các nhà thầu dầu khí Mẫu số 01/PL-DK ban hành kèm theo Phụ lục I Danh mục hồ sơ khai thuế Nghị định số 373/2025/NĐ-CP ngày 31/12/2025 của Chính phủ sửa đổi, bổ sung một số điều của Nghị định số 126/2020/NĐ-CP ngày 19/10/2020 của Chính phủ quy định chi tiết một số điều của Luật Quản lý thuế</w:t>
            </w:r>
          </w:p>
        </w:tc>
        <w:tc>
          <w:p/>
          <w:p>
            <w:pPr>
              <w:spacing w:after="0" w:before="0" w:lineRule="auto" w:line="276"/>
              <w:jc w:val="left"/>
            </w:pPr>
            <w:r>
              <w:rPr>
                <w:rFonts w:ascii="Times New Roman" w:hAnsi="Times New Roman" w:cs="Times New Roman" w:eastAsia="Times New Roman"/>
                <w:b w:val="false"/>
                <w:sz w:val="26"/>
              </w:rPr>
              <w:t>Mus01PL-DK.docx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(2) Khai quyết toán thuế TNDN đối với hoạt động khai thác, xuất bán dầu thô, khí thiên nhiên (trừ Lô 09.1)</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quyết toán thuế TNDN đối với dầu khí Mẫu số 02/TNDN–DK ban hành kèm theo Phụ lục I Danh mục hồ sơ khai thuế Nghị định số 373/2025/NĐ-CP ngày 31/12/2025 của Chính phủ sửa đổi, bổ sung một số điều của Nghị định số 126/2020/NĐ-CP ngày 19 tháng 10 năm 2020 của Chính phủ quy định chi tiết một số điều của Luật Quản lý thuế (sau đây gọi là Nghị định số 373/2025/NĐ-CP) và Thông tư số 80/2021/TT-BTC ngày 29/9/2021 của Bộ Tài chính hướng dẫn thi hành một số điều của Luật Quản lý thuế và Nghị định số 126/2020/NĐ-CP ngày 19/10/2020 của Chính phủ quy định chi tiết một số điều của Luật Quản lý thuế (sau đây gọi là Thông tư số 80/2021/TT-BTC)</w:t>
            </w:r>
          </w:p>
        </w:tc>
        <w:tc>
          <w:p/>
          <w:p>
            <w:pPr>
              <w:spacing w:after="0" w:before="0" w:lineRule="auto" w:line="276"/>
              <w:jc w:val="left"/>
            </w:pPr>
            <w:r>
              <w:rPr>
                <w:rFonts w:ascii="Times New Roman" w:hAnsi="Times New Roman" w:cs="Times New Roman" w:eastAsia="Times New Roman"/>
                <w:b w:val="false"/>
                <w:sz w:val="26"/>
              </w:rPr>
              <w:t>Mus02TNDN-DK.docx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Phụ lục chi tiết nghĩa vụ thuế của các nhà thầu dầu khí Mẫu số 01/PL-DK ban hành kèm theo Phụ lục I Danh mục hồ sơ khai thuế Nghị định số 373/2025/NĐ-CP và Thông tư số 80/2021/TT-BTC</w:t>
            </w:r>
          </w:p>
        </w:tc>
        <w:tc>
          <w:p/>
          <w:p>
            <w:pPr>
              <w:spacing w:after="0" w:before="0" w:lineRule="auto" w:line="276"/>
              <w:jc w:val="left"/>
            </w:pPr>
            <w:r>
              <w:rPr>
                <w:rFonts w:ascii="Times New Roman" w:hAnsi="Times New Roman" w:cs="Times New Roman" w:eastAsia="Times New Roman"/>
                <w:b w:val="false"/>
                <w:sz w:val="26"/>
              </w:rPr>
              <w:t>01PLDK.doc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tài chính năm hoặc báo cáo tài chính đến thời điểm kết thúc hợp đồng dầu khí ban hành kèm theo Phụ lục I Danh mục hồ sơ khai thuế Nghị định số 373/2025/NĐ-CP và Thông tư số 80/2021/TT-BTC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Chi cục Thuế doanh nghiệp lớn - Cục Thuế, Thuế tỉnh, thành phố</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Thuế tỉnh, thành phố/Chi cục thuế doanh nghiệp lớn.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Hồ sơ gửi đến cơ quan thuế không có kết quả giải quyết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38/2019/QH14</w:t>
            </w:r>
          </w:p>
        </w:tc>
        <w:tc>
          <w:p/>
          <w:p>
            <w:pPr>
              <w:spacing w:after="0" w:before="0" w:lineRule="auto" w:line="276"/>
              <w:jc w:val="left"/>
            </w:pPr>
            <w:r>
              <w:rPr>
                <w:rFonts w:ascii="Times New Roman" w:hAnsi="Times New Roman" w:cs="Times New Roman" w:eastAsia="Times New Roman"/>
                <w:b w:val="false"/>
                <w:sz w:val="26"/>
              </w:rPr>
              <w:t>Luật 38/2019/QH14</w:t>
            </w:r>
          </w:p>
        </w:tc>
        <w:tc>
          <w:p/>
          <w:p>
            <w:pPr>
              <w:spacing w:after="0" w:before="0" w:lineRule="auto" w:line="276"/>
              <w:jc w:val="left"/>
            </w:pPr>
            <w:r>
              <w:rPr>
                <w:rFonts w:ascii="Times New Roman" w:hAnsi="Times New Roman" w:cs="Times New Roman" w:eastAsia="Times New Roman"/>
                <w:b w:val="false"/>
                <w:sz w:val="26"/>
              </w:rPr>
              <w:t>13-06-2019</w:t>
            </w:r>
          </w:p>
        </w:tc>
        <w:tc>
          <w:p/>
        </w:tc>
      </w:tr>
      <w:tr>
        <w:tc>
          <w:p/>
          <w:p>
            <w:pPr>
              <w:spacing w:after="0" w:before="0" w:lineRule="auto" w:line="276"/>
              <w:jc w:val="left"/>
            </w:pPr>
            <w:r>
              <w:rPr>
                <w:rFonts w:ascii="Times New Roman" w:hAnsi="Times New Roman" w:cs="Times New Roman" w:eastAsia="Times New Roman"/>
                <w:b w:val="false"/>
                <w:sz w:val="26"/>
              </w:rPr>
              <w:t>80/2021/TT-BTC</w:t>
            </w:r>
          </w:p>
        </w:tc>
        <w:tc>
          <w:p/>
          <w:p>
            <w:pPr>
              <w:spacing w:after="0" w:before="0" w:lineRule="auto" w:line="276"/>
              <w:jc w:val="left"/>
            </w:pPr>
            <w:r>
              <w:rPr>
                <w:rFonts w:ascii="Times New Roman" w:hAnsi="Times New Roman" w:cs="Times New Roman" w:eastAsia="Times New Roman"/>
                <w:b w:val="false"/>
                <w:sz w:val="26"/>
              </w:rPr>
              <w:t>Thông tư 80/2021/TT-BTC</w:t>
            </w:r>
          </w:p>
        </w:tc>
        <w:tc>
          <w:p/>
          <w:p>
            <w:pPr>
              <w:spacing w:after="0" w:before="0" w:lineRule="auto" w:line="276"/>
              <w:jc w:val="left"/>
            </w:pPr>
            <w:r>
              <w:rPr>
                <w:rFonts w:ascii="Times New Roman" w:hAnsi="Times New Roman" w:cs="Times New Roman" w:eastAsia="Times New Roman"/>
                <w:b w:val="false"/>
                <w:sz w:val="26"/>
              </w:rPr>
              <w:t>29-09-2021</w:t>
            </w:r>
          </w:p>
        </w:tc>
        <w:tc>
          <w:p/>
        </w:tc>
      </w:tr>
      <w:tr>
        <w:tc>
          <w:p/>
          <w:p>
            <w:pPr>
              <w:spacing w:after="0" w:before="0" w:lineRule="auto" w:line="276"/>
              <w:jc w:val="left"/>
            </w:pPr>
            <w:r>
              <w:rPr>
                <w:rFonts w:ascii="Times New Roman" w:hAnsi="Times New Roman" w:cs="Times New Roman" w:eastAsia="Times New Roman"/>
                <w:b w:val="false"/>
                <w:sz w:val="26"/>
              </w:rPr>
              <w:t>126/2020/NĐ-CP</w:t>
            </w:r>
          </w:p>
        </w:tc>
        <w:tc>
          <w:p/>
          <w:p>
            <w:pPr>
              <w:spacing w:after="0" w:before="0" w:lineRule="auto" w:line="276"/>
              <w:jc w:val="left"/>
            </w:pPr>
            <w:r>
              <w:rPr>
                <w:rFonts w:ascii="Times New Roman" w:hAnsi="Times New Roman" w:cs="Times New Roman" w:eastAsia="Times New Roman"/>
                <w:b w:val="false"/>
                <w:sz w:val="26"/>
              </w:rPr>
              <w:t>Nghị định 126/2020/NĐ-CP</w:t>
            </w:r>
          </w:p>
        </w:tc>
        <w:tc>
          <w:p/>
          <w:p>
            <w:pPr>
              <w:spacing w:after="0" w:before="0" w:lineRule="auto" w:line="276"/>
              <w:jc w:val="left"/>
            </w:pPr>
            <w:r>
              <w:rPr>
                <w:rFonts w:ascii="Times New Roman" w:hAnsi="Times New Roman" w:cs="Times New Roman" w:eastAsia="Times New Roman"/>
                <w:b w:val="false"/>
                <w:sz w:val="26"/>
              </w:rPr>
              <w:t>19-10-2020</w:t>
            </w:r>
          </w:p>
        </w:tc>
        <w:tc>
          <w:p/>
        </w:tc>
      </w:tr>
      <w:tr>
        <w:tc>
          <w:p/>
          <w:p>
            <w:pPr>
              <w:spacing w:after="0" w:before="0" w:lineRule="auto" w:line="276"/>
              <w:jc w:val="left"/>
            </w:pPr>
            <w:r>
              <w:rPr>
                <w:rFonts w:ascii="Times New Roman" w:hAnsi="Times New Roman" w:cs="Times New Roman" w:eastAsia="Times New Roman"/>
                <w:b w:val="false"/>
                <w:sz w:val="26"/>
              </w:rPr>
              <w:t>19/2021/TT-BTC</w:t>
            </w:r>
          </w:p>
        </w:tc>
        <w:tc>
          <w:p/>
          <w:p>
            <w:pPr>
              <w:spacing w:after="0" w:before="0" w:lineRule="auto" w:line="276"/>
              <w:jc w:val="left"/>
            </w:pPr>
            <w:r>
              <w:rPr>
                <w:rFonts w:ascii="Times New Roman" w:hAnsi="Times New Roman" w:cs="Times New Roman" w:eastAsia="Times New Roman"/>
                <w:b w:val="false"/>
                <w:sz w:val="26"/>
              </w:rPr>
              <w:t>Thông tư 19/2021/TT-BTC</w:t>
            </w:r>
          </w:p>
        </w:tc>
        <w:tc>
          <w:p/>
          <w:p>
            <w:pPr>
              <w:spacing w:after="0" w:before="0" w:lineRule="auto" w:line="276"/>
              <w:jc w:val="left"/>
            </w:pPr>
            <w:r>
              <w:rPr>
                <w:rFonts w:ascii="Times New Roman" w:hAnsi="Times New Roman" w:cs="Times New Roman" w:eastAsia="Times New Roman"/>
                <w:b w:val="false"/>
                <w:sz w:val="26"/>
              </w:rPr>
              <w:t>18-03-2021</w:t>
            </w:r>
          </w:p>
        </w:tc>
        <w:tc>
          <w:p/>
        </w:tc>
      </w:tr>
      <w:tr>
        <w:tc>
          <w:p/>
          <w:p>
            <w:pPr>
              <w:spacing w:after="0" w:before="0" w:lineRule="auto" w:line="276"/>
              <w:jc w:val="left"/>
            </w:pPr>
            <w:r>
              <w:rPr>
                <w:rFonts w:ascii="Times New Roman" w:hAnsi="Times New Roman" w:cs="Times New Roman" w:eastAsia="Times New Roman"/>
                <w:b w:val="false"/>
                <w:sz w:val="26"/>
              </w:rPr>
              <w:t>33/2013/NĐ-CP</w:t>
            </w:r>
          </w:p>
        </w:tc>
        <w:tc>
          <w:p/>
          <w:p>
            <w:pPr>
              <w:spacing w:after="0" w:before="0" w:lineRule="auto" w:line="276"/>
              <w:jc w:val="left"/>
            </w:pPr>
            <w:r>
              <w:rPr>
                <w:rFonts w:ascii="Times New Roman" w:hAnsi="Times New Roman" w:cs="Times New Roman" w:eastAsia="Times New Roman"/>
                <w:b w:val="false"/>
                <w:sz w:val="26"/>
              </w:rPr>
              <w:t>Nghị định 33/2013/NĐ-CP</w:t>
            </w:r>
          </w:p>
        </w:tc>
        <w:tc>
          <w:p/>
          <w:p>
            <w:pPr>
              <w:spacing w:after="0" w:before="0" w:lineRule="auto" w:line="276"/>
              <w:jc w:val="left"/>
            </w:pPr>
            <w:r>
              <w:rPr>
                <w:rFonts w:ascii="Times New Roman" w:hAnsi="Times New Roman" w:cs="Times New Roman" w:eastAsia="Times New Roman"/>
                <w:b w:val="false"/>
                <w:sz w:val="26"/>
              </w:rPr>
              <w:t>23-04-2013</w:t>
            </w:r>
          </w:p>
        </w:tc>
        <w:tc>
          <w:p/>
        </w:tc>
      </w:tr>
      <w:tr>
        <w:tc>
          <w:p/>
          <w:p>
            <w:pPr>
              <w:spacing w:after="0" w:before="0" w:lineRule="auto" w:line="276"/>
              <w:jc w:val="left"/>
            </w:pPr>
            <w:r>
              <w:rPr>
                <w:rFonts w:ascii="Times New Roman" w:hAnsi="Times New Roman" w:cs="Times New Roman" w:eastAsia="Times New Roman"/>
                <w:b w:val="false"/>
                <w:sz w:val="26"/>
              </w:rPr>
              <w:t>36/2016/TT-BTC</w:t>
            </w:r>
          </w:p>
        </w:tc>
        <w:tc>
          <w:p/>
          <w:p>
            <w:pPr>
              <w:spacing w:after="0" w:before="0" w:lineRule="auto" w:line="276"/>
              <w:jc w:val="left"/>
            </w:pPr>
            <w:r>
              <w:rPr>
                <w:rFonts w:ascii="Times New Roman" w:hAnsi="Times New Roman" w:cs="Times New Roman" w:eastAsia="Times New Roman"/>
                <w:b w:val="false"/>
                <w:sz w:val="26"/>
              </w:rPr>
              <w:t>Thông tư 36/2016/TT-BTC</w:t>
            </w:r>
          </w:p>
        </w:tc>
        <w:tc>
          <w:p/>
          <w:p>
            <w:pPr>
              <w:spacing w:after="0" w:before="0" w:lineRule="auto" w:line="276"/>
              <w:jc w:val="left"/>
            </w:pPr>
            <w:r>
              <w:rPr>
                <w:rFonts w:ascii="Times New Roman" w:hAnsi="Times New Roman" w:cs="Times New Roman" w:eastAsia="Times New Roman"/>
                <w:b w:val="false"/>
                <w:sz w:val="26"/>
              </w:rPr>
              <w:t>27-02-2016</w:t>
            </w:r>
          </w:p>
        </w:tc>
        <w:tc>
          <w:p/>
        </w:tc>
      </w:tr>
      <w:tr>
        <w:tc>
          <w:p/>
          <w:p>
            <w:pPr>
              <w:spacing w:after="0" w:before="0" w:lineRule="auto" w:line="276"/>
              <w:jc w:val="left"/>
            </w:pPr>
            <w:r>
              <w:rPr>
                <w:rFonts w:ascii="Times New Roman" w:hAnsi="Times New Roman" w:cs="Times New Roman" w:eastAsia="Times New Roman"/>
                <w:b w:val="false"/>
                <w:sz w:val="26"/>
              </w:rPr>
              <w:t>TT43/2023/TT-BTC</w:t>
            </w:r>
          </w:p>
        </w:tc>
        <w:tc>
          <w:p/>
          <w:p>
            <w:pPr>
              <w:spacing w:after="0" w:before="0" w:lineRule="auto" w:line="276"/>
              <w:jc w:val="left"/>
            </w:pPr>
            <w:r>
              <w:rPr>
                <w:rFonts w:ascii="Times New Roman" w:hAnsi="Times New Roman" w:cs="Times New Roman" w:eastAsia="Times New Roman"/>
                <w:b w:val="false"/>
                <w:sz w:val="26"/>
              </w:rPr>
              <w:t>Thông tư số 43/2023/TT-BTC ngày 27/6/2023 của Bộ trưởng Bộ Tài chính sửa đổi, bổ sung một số điều của các Thông tư có quy định liên quan đến việc nộp, xuất trình và khai thông tin về đăng ký sổ hộ khẩu, sổ tạm trú hoặc giấy tờ có yêu cầu xác nhận của địa phương nơi cư trú khi thực hiện các chính sách hoặc thủ tục hành chính thuộc lĩnh vực quản lý nhà nước của Bộ Tài chính.</w:t>
            </w:r>
          </w:p>
        </w:tc>
        <w:tc>
          <w:p/>
          <w:p>
            <w:pPr>
              <w:spacing w:after="0" w:before="0" w:lineRule="auto" w:line="276"/>
              <w:jc w:val="left"/>
            </w:pPr>
            <w:r>
              <w:rPr>
                <w:rFonts w:ascii="Times New Roman" w:hAnsi="Times New Roman" w:cs="Times New Roman" w:eastAsia="Times New Roman"/>
                <w:b w:val="false"/>
                <w:sz w:val="26"/>
              </w:rPr>
              <w:t>27-06-2023</w:t>
            </w:r>
          </w:p>
        </w:tc>
        <w:tc>
          <w:p/>
        </w:tc>
      </w:tr>
      <w:tr>
        <w:tc>
          <w:p/>
          <w:p>
            <w:pPr>
              <w:spacing w:after="0" w:before="0" w:lineRule="auto" w:line="276"/>
              <w:jc w:val="left"/>
            </w:pPr>
            <w:r>
              <w:rPr>
                <w:rFonts w:ascii="Times New Roman" w:hAnsi="Times New Roman" w:cs="Times New Roman" w:eastAsia="Times New Roman"/>
                <w:b w:val="false"/>
                <w:sz w:val="26"/>
              </w:rPr>
              <w:t>125/2025/NĐ-CP</w:t>
            </w:r>
          </w:p>
        </w:tc>
        <w:tc>
          <w:p/>
          <w:p>
            <w:pPr>
              <w:spacing w:after="0" w:before="0" w:lineRule="auto" w:line="276"/>
              <w:jc w:val="left"/>
            </w:pPr>
            <w:r>
              <w:rPr>
                <w:rFonts w:ascii="Times New Roman" w:hAnsi="Times New Roman" w:cs="Times New Roman" w:eastAsia="Times New Roman"/>
                <w:b w:val="false"/>
                <w:sz w:val="26"/>
              </w:rPr>
              <w:t>Nghị định số 125/2025/NĐ-CP của Chính phủ: Quy định về phân định thẩm quyền của chính quyền địa phương 02 cấp trong lĩnh vực quản lý nhà nước của Bộ Tài chính</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40/2025/TT-BTC</w:t>
            </w:r>
          </w:p>
        </w:tc>
        <w:tc>
          <w:p/>
          <w:p>
            <w:pPr>
              <w:spacing w:after="0" w:before="0" w:lineRule="auto" w:line="276"/>
              <w:jc w:val="left"/>
            </w:pPr>
            <w:r>
              <w:rPr>
                <w:rFonts w:ascii="Times New Roman" w:hAnsi="Times New Roman" w:cs="Times New Roman" w:eastAsia="Times New Roman"/>
                <w:b w:val="false"/>
                <w:sz w:val="26"/>
              </w:rPr>
              <w:t>Thông tư số 40/2025/TT-BTC Sửa đổi, bổ sung một số điều của các Thông tư thuộc lĩnh vực quản lý thuế để phân định thẩm quyền của chính quyền địa phương theo mô hình tổ chức chính quyền địa phương 02 cấp</w:t>
            </w:r>
          </w:p>
        </w:tc>
        <w:tc>
          <w:p/>
          <w:p>
            <w:pPr>
              <w:spacing w:after="0" w:before="0" w:lineRule="auto" w:line="276"/>
              <w:jc w:val="left"/>
            </w:pPr>
            <w:r>
              <w:rPr>
                <w:rFonts w:ascii="Times New Roman" w:hAnsi="Times New Roman" w:cs="Times New Roman" w:eastAsia="Times New Roman"/>
                <w:b w:val="false"/>
                <w:sz w:val="26"/>
              </w:rPr>
              <w:t>13-06-2025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122/2025/NĐ-CP</w:t>
            </w:r>
          </w:p>
        </w:tc>
        <w:tc>
          <w:p/>
          <w:p>
            <w:pPr>
              <w:spacing w:after="0" w:before="0" w:lineRule="auto" w:line="276"/>
              <w:jc w:val="left"/>
            </w:pPr>
            <w:r>
              <w:rPr>
                <w:rFonts w:ascii="Times New Roman" w:hAnsi="Times New Roman" w:cs="Times New Roman" w:eastAsia="Times New Roman"/>
                <w:b w:val="false"/>
                <w:sz w:val="26"/>
              </w:rPr>
              <w:t>Nghị định số 122/2025/NĐ-CP của Chính phủ: Quy định về phân quyền, phân cấp trong lĩnh vực quản lý thuế</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46/2024/TT-BTC</w:t>
            </w:r>
          </w:p>
        </w:tc>
        <w:tc>
          <w:p/>
          <w:p>
            <w:pPr>
              <w:spacing w:after="0" w:before="0" w:lineRule="auto" w:line="276"/>
              <w:jc w:val="left"/>
            </w:pPr>
            <w:r>
              <w:rPr>
                <w:rFonts w:ascii="Times New Roman" w:hAnsi="Times New Roman" w:cs="Times New Roman" w:eastAsia="Times New Roman"/>
                <w:b w:val="false"/>
                <w:sz w:val="26"/>
              </w:rPr>
              <w:t>Thông tư số 46/2024/TT-BTC ngày 09/7/2024 của Bộ trưởng Bộ Tài chính</w:t>
            </w:r>
          </w:p>
        </w:tc>
        <w:tc>
          <w:p/>
          <w:p>
            <w:pPr>
              <w:spacing w:after="0" w:before="0" w:lineRule="auto" w:line="276"/>
              <w:jc w:val="left"/>
            </w:pPr>
            <w:r>
              <w:rPr>
                <w:rFonts w:ascii="Times New Roman" w:hAnsi="Times New Roman" w:cs="Times New Roman" w:eastAsia="Times New Roman"/>
                <w:b w:val="false"/>
                <w:sz w:val="26"/>
              </w:rPr>
              <w:t>09-07-2024</w:t>
            </w:r>
          </w:p>
        </w:tc>
        <w:tc>
          <w:p/>
          <w:p>
            <w:pPr>
              <w:spacing w:after="0" w:before="0" w:lineRule="auto" w:line="276"/>
              <w:jc w:val="left"/>
            </w:pPr>
            <w:r>
              <w:rPr>
                <w:rFonts w:ascii="Times New Roman" w:hAnsi="Times New Roman" w:cs="Times New Roman" w:eastAsia="Times New Roman"/>
                <w:b w:val="false"/>
                <w:sz w:val="26"/>
              </w:rPr>
              <w:t>Bộ trưởng Bộ tài chính</w:t>
            </w:r>
          </w:p>
        </w:tc>
      </w:tr>
      <w:tr>
        <w:tc>
          <w:p/>
          <w:p>
            <w:pPr>
              <w:spacing w:after="0" w:before="0" w:lineRule="auto" w:line="276"/>
              <w:jc w:val="left"/>
            </w:pPr>
            <w:r>
              <w:rPr>
                <w:rFonts w:ascii="Times New Roman" w:hAnsi="Times New Roman" w:cs="Times New Roman" w:eastAsia="Times New Roman"/>
                <w:b w:val="false"/>
                <w:sz w:val="26"/>
              </w:rPr>
              <w:t>373/2025/NĐ-CP</w:t>
            </w:r>
          </w:p>
        </w:tc>
        <w:tc>
          <w:p/>
          <w:p>
            <w:pPr>
              <w:spacing w:after="0" w:before="0" w:lineRule="auto" w:line="276"/>
              <w:jc w:val="left"/>
            </w:pPr>
            <w:r>
              <w:rPr>
                <w:rFonts w:ascii="Times New Roman" w:hAnsi="Times New Roman" w:cs="Times New Roman" w:eastAsia="Times New Roman"/>
                <w:b w:val="false"/>
                <w:sz w:val="26"/>
              </w:rPr>
              <w:t>Nghị định số 373/2025/NĐ-CP của Chính phủ: Sửa đổi, bổ sung một số điều của Nghị định số 126/2020/NĐ-CP ngày 19 tháng 10 năm 2020 của Chính phủ quy định chi tiết một số điều của Luật Quản lý thuế</w:t>
            </w:r>
          </w:p>
        </w:tc>
        <w:tc>
          <w:p/>
          <w:p>
            <w:pPr>
              <w:spacing w:after="0" w:before="0" w:lineRule="auto" w:line="276"/>
              <w:jc w:val="left"/>
            </w:pPr>
            <w:r>
              <w:rPr>
                <w:rFonts w:ascii="Times New Roman" w:hAnsi="Times New Roman" w:cs="Times New Roman" w:eastAsia="Times New Roman"/>
                <w:b w:val="false"/>
                <w:sz w:val="26"/>
              </w:rPr>
              <w:t>31-12-2025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Trường hợp người nộp thuế lựa chọn và gửi hồ sơ đến cơ quan thuế thông qua giao dịch điện tử thì phải tuân thủ đúng, đầy đủ các quy định và điều kiện thực hiện giao dịch điện tử trong lĩnh vực thuế tại Thông tư số 19/2021/TT-BTC ngày 18/3/2021 của Bộ trưởng Bộ Tài chính hướng dẫn giao dịch điện tử trong lĩnh vực thuế, Thông tư số 46/2024/TT-BTC ngày 09 tháng 7 năm 2024 của Bộ Tài chính sửa đổi, bổ sung một số điều của thông tư số 19/2021/TT-BTC ngày 18/3/2021 của Bộ Tài chính hướng dẫn giao dịch điện tử trong lĩnh vực thuế.</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2026-05-24T15:52:54Z</dcterms:created>
  <dc:creator>Apache POI</dc:creator>
</cp:coreProperties>
</file>