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1.008328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quyết toán thuế TNDN đối với hoạt động khai thác, xuất bán dầu thô, khí thiên nhiên (trừ Lô 09.1)</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thuế chuẩn bị số liệu, lập hồ sơ khai thuế và gửi đến cơ quan thuế quản lý trực tiếp người nộp thuế chậm nhất là ngày cuối cùng của tháng thứ 3 kể từ ngày kết thúc năm dương lịch hoặc năm tài chính; Chậm nhất là ngày thứ 45 (bốn mươi lăm) kể từ ngày kết thúc hợp đồng dầu khí.
Trường hợp ngày cuối cùng của thời hạn khai, nộp thuế trùng với ngày nghỉ theo quy định thì thời hạn nộp hồ sơ khai thuế được tính là ngày làm việc tiếp theo của ngày nghỉ đó.</w:t>
      </w:r>
    </w:p>
    <w:p>
      <w:pPr>
        <w:spacing w:after="0" w:before="0" w:lineRule="auto" w:line="276"/>
        <w:jc w:val="both"/>
      </w:pPr>
      <w:r>
        <w:rPr>
          <w:rFonts w:ascii="Times New Roman" w:hAnsi="Times New Roman" w:cs="Times New Roman" w:eastAsia="Times New Roman"/>
          <w:b w:val="false"/>
          <w:sz w:val="26"/>
        </w:rPr>
        <w:t>+ Bước 2. Cơ quan thuế tiếp nhận:
Cơ quan quản lý thuế tiếp nhận hồ sơ khai thuế, thông báo về việc tiếp nhận hồ sơ khai thuế; trường hợp hồ sơ không hợp pháp, không đầy đủ, không đúng mẫu quy định thì thông báo cho người nộp thuế trong thời hạn 03 ngày làm việc kể từ ngày tiếp nhận hồ sơ.
Trường hợp tiếp nhận hồ sơ qua Cổng thông tin điện tử của Cục Thuế, cơ quan thuế thực hiện tiếp nhận, kiểm tra, giải quyết hồ sơ thông qua hệ thống xử lý dữ liệu điện tử của cơ quan thuế:
++ Cổng thông tin điện tử của Cục Thuế  gửi thông báo tiếp nhận việc NNT đã nộp hồ sơ hoặc thông báo lý do không tiếp nhận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khai thuế điện tử của người nộp thuế
++ Cơ quan thuế thực hiện kiểm tra, giải quyết hồ sơ khai thuế của NNT theo quy định của Luật Quản lý thuế và các văn bản hướng dẫn thi hành, gửi thông báo chấp nhận/không chấp nhận hồ sơ đến Cổng thông tin điện tử mà NNT lựa chọn lập và gửi hồ sơ  chậm nhất 01 ngày làm việc kể từ ngày ghi trên thông báo tiếp nhận nộp hồ sơ khai thuế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trụ sở cơ quan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qua hệ thống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điện tử đến cơ quan thuế qua giao dịch điện tử (Cổng thông tin điện tử của Cục Thuế/Cổng thông tin điện tử của cơ quan nhà nước có thẩm quyền hoặc tổ chức cung cấp dịch vụ T-VAN)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quyết toán thuế TNDN đối với dầu khí Mẫu số 02/TNDN – DK ban hành kèm theo Phụ lục 1 Danh mục hồ sơ khai thuế Nghị định số 126/2020/NĐ-CP ngày 19/10/2020 của Chính phủ quy định chi tiết một số điều của Luật Quản lý thuế và Thông tư số 80/2021/TT-BTC ngày 29/9/2021 của Bộ Tài chính hướng dẫn thi hành một số điều của Luật Quản lý thuế và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Mus02TNDN-DK.docx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Phụ lục chi tiết nghĩa vụ thuế của các nhà thầu dầu khí Mẫu số 01/PL-DK ban hành kèm theo Phụ lục 1 Danh mục hồ sơ khai thuế Nghị định số 126/2020/NĐ-CP ngày 19/10/2020 của Chính phủ quy định chi tiết một số điều của Luật Quản lý thuế và Thông tư số 80/2021/TT-BTC ngày 29/9/2021 của Bộ Tài chính hướng dẫn thi hành một số điều của Luật Quản lý thuế và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Mus01PL-DK.docx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tài chính năm hoặc báo cáo tài chính đến thời điểm kết thúc hợp đồng dầu khí ban hành kèm theo Phụ lục 1 Danh mục hồ sơ khai thuế Nghị định số 126/2020/NĐ-CP ngày 19/10/2020 của Chính phủ quy định chi tiết một số điều của Luật Quản lý thuế và Thông tư số 80/2021/TT-BTC ngày 29/9/2021 của Bộ Tài chính hướng dẫn thi hành một số điều của Luật Quản lý thuế và Nghị định số 126/2020/NĐ-CP ngày 19/10/2020 của Chính phủ quy định chi tiết một số điều của Luật Quản lý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33/2013/NĐ-CP</w:t>
            </w:r>
          </w:p>
        </w:tc>
        <w:tc>
          <w:p/>
          <w:p>
            <w:pPr>
              <w:spacing w:after="0" w:before="0" w:lineRule="auto" w:line="276"/>
              <w:jc w:val="left"/>
            </w:pPr>
            <w:r>
              <w:rPr>
                <w:rFonts w:ascii="Times New Roman" w:hAnsi="Times New Roman" w:cs="Times New Roman" w:eastAsia="Times New Roman"/>
                <w:b w:val="false"/>
                <w:sz w:val="26"/>
              </w:rPr>
              <w:t>Nghị định 33/2013/NĐ-CP</w:t>
            </w:r>
          </w:p>
        </w:tc>
        <w:tc>
          <w:p/>
          <w:p>
            <w:pPr>
              <w:spacing w:after="0" w:before="0" w:lineRule="auto" w:line="276"/>
              <w:jc w:val="left"/>
            </w:pPr>
            <w:r>
              <w:rPr>
                <w:rFonts w:ascii="Times New Roman" w:hAnsi="Times New Roman" w:cs="Times New Roman" w:eastAsia="Times New Roman"/>
                <w:b w:val="false"/>
                <w:sz w:val="26"/>
              </w:rPr>
              <w:t>23-04-2013</w:t>
            </w:r>
          </w:p>
        </w:tc>
        <w:tc>
          <w:p/>
        </w:tc>
      </w:tr>
      <w:tr>
        <w:tc>
          <w:p/>
          <w:p>
            <w:pPr>
              <w:spacing w:after="0" w:before="0" w:lineRule="auto" w:line="276"/>
              <w:jc w:val="left"/>
            </w:pPr>
            <w:r>
              <w:rPr>
                <w:rFonts w:ascii="Times New Roman" w:hAnsi="Times New Roman" w:cs="Times New Roman" w:eastAsia="Times New Roman"/>
                <w:b w:val="false"/>
                <w:sz w:val="26"/>
              </w:rPr>
              <w:t>36/2016/TT-BTC</w:t>
            </w:r>
          </w:p>
        </w:tc>
        <w:tc>
          <w:p/>
          <w:p>
            <w:pPr>
              <w:spacing w:after="0" w:before="0" w:lineRule="auto" w:line="276"/>
              <w:jc w:val="left"/>
            </w:pPr>
            <w:r>
              <w:rPr>
                <w:rFonts w:ascii="Times New Roman" w:hAnsi="Times New Roman" w:cs="Times New Roman" w:eastAsia="Times New Roman"/>
                <w:b w:val="false"/>
                <w:sz w:val="26"/>
              </w:rPr>
              <w:t>Thông tư 36/2016/TT-BTC</w:t>
            </w:r>
          </w:p>
        </w:tc>
        <w:tc>
          <w:p/>
          <w:p>
            <w:pPr>
              <w:spacing w:after="0" w:before="0" w:lineRule="auto" w:line="276"/>
              <w:jc w:val="left"/>
            </w:pPr>
            <w:r>
              <w:rPr>
                <w:rFonts w:ascii="Times New Roman" w:hAnsi="Times New Roman" w:cs="Times New Roman" w:eastAsia="Times New Roman"/>
                <w:b w:val="false"/>
                <w:sz w:val="26"/>
              </w:rPr>
              <w:t>27-02-2016</w:t>
            </w:r>
          </w:p>
        </w:tc>
        <w:tc>
          <w:p/>
        </w:tc>
      </w:tr>
      <w:tr>
        <w:tc>
          <w:p/>
          <w:p>
            <w:pPr>
              <w:spacing w:after="0" w:before="0" w:lineRule="auto" w:line="276"/>
              <w:jc w:val="left"/>
            </w:pPr>
            <w:r>
              <w:rPr>
                <w:rFonts w:ascii="Times New Roman" w:hAnsi="Times New Roman" w:cs="Times New Roman" w:eastAsia="Times New Roman"/>
                <w:b w:val="false"/>
                <w:sz w:val="26"/>
              </w:rPr>
              <w:t>TT43/2023/TT-BTC</w:t>
            </w:r>
          </w:p>
        </w:tc>
        <w:tc>
          <w:p/>
          <w:p>
            <w:pPr>
              <w:spacing w:after="0" w:before="0" w:lineRule="auto" w:line="276"/>
              <w:jc w:val="left"/>
            </w:pPr>
            <w:r>
              <w:rPr>
                <w:rFonts w:ascii="Times New Roman" w:hAnsi="Times New Roman" w:cs="Times New Roman" w:eastAsia="Times New Roman"/>
                <w:b w:val="false"/>
                <w:sz w:val="26"/>
              </w:rPr>
              <w:t>Thông tư số 43/2023/TT-BTC ngày 27/6/2023 của Bộ trưởng Bộ Tài chính sửa đổi, bổ sung một số điều của các Thông tư có quy định liên quan đến việc nộp, xuất trình và khai thông tin về đăng ký sổ hộ khẩu, sổ tạm trú hoặc giấy tờ có yêu cầu xác nhận của địa phương nơi cư trú khi thực hiện các chính sách hoặc thủ tục hành chính thuộc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27-06-2023</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sửa đổi một số điều của Thông tư 19/2021/TT-BTC ngày 18/3/2021 của Bộ trưởng Bộ Tài chính hướng dẫn giao dịch điện tử trong lĩnh vực thuế</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02-07-2025</w:t>
            </w:r>
          </w:p>
        </w:tc>
        <w:tc>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122/2025/NĐ-CP</w:t>
            </w:r>
          </w:p>
        </w:tc>
        <w:tc>
          <w:p/>
          <w:p>
            <w:pPr>
              <w:spacing w:after="0" w:before="0" w:lineRule="auto" w:line="276"/>
              <w:jc w:val="left"/>
            </w:pPr>
            <w:r>
              <w:rPr>
                <w:rFonts w:ascii="Times New Roman" w:hAnsi="Times New Roman" w:cs="Times New Roman" w:eastAsia="Times New Roman"/>
                <w:b w:val="false"/>
                <w:sz w:val="26"/>
              </w:rPr>
              <w:t>Nghị định số 122/2025/NĐ-CP của Chính phủ: Quy định về phân quyền, phân cấp trong lĩnh vực quản lý thuế</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2026-05-24T15:58:03Z</dcterms:created>
  <dc:creator>Apache POI</dc:creator>
</cp:coreProperties>
</file>