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1.008333</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216/QĐ-BTC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Khai thuế/ Khai quyết toán đối với Nhà thầu nước ngoài, Nhà thầu phụ nước ngoài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Thuế</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(i) Khai thuế đối với nhà thầu nước ngoài, nhà thầu phụ nước ngoài</w:t>
      </w:r>
    </w:p>
    <w:p>
      <w:pPr>
        <w:spacing w:after="0" w:before="0" w:lineRule="auto" w:line="276"/>
        <w:jc w:val="both"/>
      </w:pPr>
      <w:r>
        <w:rPr>
          <w:rFonts w:ascii="Times New Roman" w:hAnsi="Times New Roman" w:cs="Times New Roman" w:eastAsia="Times New Roman"/>
          <w:b w:val="false"/>
          <w:sz w:val="26"/>
        </w:rPr>
        <w:t>+ Bước 1. Nhà thầu nước ngoài, nhà thầu phụ nước ngoài nộp thuế GTGT tính trực tiếp trên GTGT, nộp thuế TNDN theo tỷ lệ % tính trên doanh thu đối với hoạt động kinh doanh và các loại thu nhập khác; Nhà thầu nước ngoài, Nhà thầu phụ nước ngoài nộp thuế GTGT theo phương pháp khấu trừ, thuế TNDN theo tỷ lệ % tính trên doanh thu lập hồ sơ khai thuế và gửi đến cơ quan thuế quản lý trực tiếp của bên Việt Nam;
++ Khai theo từng lần phát sinh thanh toán tiền cho Nhà thầu nước ngoài. Thời hạn nộp hồ sơ khai thuế theo từng lần phát sinh nghĩa vụ thuế chậm nhất là ngày thứ muời, kể từ ngày phát sinh nghĩa vụ thuế.
++ Trường hợp bên Việt Nam thanh toán cho Nhà thầu nước ngoài nhiều lần trong tháng thì có thể đăng ký khai thuế theo tháng thay cho việc khai theo từng lần phát sinh thanh toán tiền cho Nhà thầu nước ngoài. Thời hạn nộp hồ sơ khai thuế tháng chậm nhất là ngày thứ hai mươi của tháng tiếp theo tháng phát sinh nghĩa vụ thuế.
Đối với hợp đồng nhà thầu là hợp đồng xây dựng, lắp đặt thì nộp hồ sơ khai thuế, hồ sơ khai quyết toán thuế cho Thuế tỉnh, thành phố hoặc Thuế cơ sở do Trưởng thuế tỉnh, thành phố nơi diễn ra hoạt động xây dựng, lắp đặt quy định.</w:t>
      </w:r>
    </w:p>
    <w:p>
      <w:pPr>
        <w:spacing w:after="0" w:before="0" w:lineRule="auto" w:line="276"/>
        <w:jc w:val="both"/>
      </w:pPr>
      <w:r>
        <w:rPr>
          <w:rFonts w:ascii="Times New Roman" w:hAnsi="Times New Roman" w:cs="Times New Roman" w:eastAsia="Times New Roman"/>
          <w:b w:val="false"/>
          <w:sz w:val="26"/>
        </w:rPr>
        <w:t>+ Bước 2. Cơ quan thuế tiếp nhận:
Trường hợp hồ sơ được nộp trực tiếp tại Trung tâm Phục vụ hành chính công cấp tỉnh/cấp xã hoặc hồ sơ được gửi qua đường bưu chính: cơ quan thuế thực hiện tiếp nhận, giải quyết hồ sơ theo quy định. Trường hợp hồ sơ được nộp đến cơ quan thuế thông qua giao dịch điện tử, việc tiếp nhận, kiểm tra, chấp nhận, giải quyết hồ sơ thông qua hệ thống xử lý dữ liệu điện tử của cơ quan thuế.</w:t>
      </w:r>
    </w:p>
    <w:p>
      <w:pPr>
        <w:shd w:val="clear" w:color="auto" w:fill="F2F6F9"/>
        <w:spacing w:after="0" w:before="120" w:lineRule="auto" w:line="276"/>
        <w:jc w:val="both"/>
      </w:pPr>
      <w:r>
        <w:rPr>
          <w:rFonts w:ascii="Times New Roman" w:hAnsi="Times New Roman" w:cs="Times New Roman" w:eastAsia="Times New Roman"/>
          <w:b w:val="true"/>
          <w:sz w:val="26"/>
        </w:rPr>
        <w:t>(ii) Khai quyết toán thuế nhà thầu nước ngoài, nhà thầu phụ nước ngoài</w:t>
      </w:r>
    </w:p>
    <w:p>
      <w:pPr>
        <w:spacing w:after="0" w:before="0" w:lineRule="auto" w:line="276"/>
        <w:jc w:val="both"/>
      </w:pPr>
      <w:r>
        <w:rPr>
          <w:rFonts w:ascii="Times New Roman" w:hAnsi="Times New Roman" w:cs="Times New Roman" w:eastAsia="Times New Roman"/>
          <w:b w:val="false"/>
          <w:sz w:val="26"/>
        </w:rPr>
        <w:t>+ Bước 1. Nhà thầu nước ngoài, nhà thầu phụ nước ngoài nộp thuế GTGT tính trực tiếp trên GTGT, nộp thuế TNDN theo tỷ lệ % tính trên doanh thu đối với hoạt động kinh doanh và các loại thu nhập khác; Nhà thầu nước ngoài, nhà thầu phụ nước ngoài nộp thuế GTGT theo phương pháp khấu trừ, thuế TNDN theo tỷ lệ % tính trên doanh thu lập hồ sơ khai quyết toán thuế khi kết thúc hợp đồng nhà thầu và gửi đến cơ quan thuế quản lý trực tiếp của bên Việt Nam.</w:t>
      </w:r>
    </w:p>
    <w:p>
      <w:pPr>
        <w:spacing w:after="0" w:before="0" w:lineRule="auto" w:line="276"/>
        <w:jc w:val="both"/>
      </w:pPr>
      <w:r>
        <w:rPr>
          <w:rFonts w:ascii="Times New Roman" w:hAnsi="Times New Roman" w:cs="Times New Roman" w:eastAsia="Times New Roman"/>
          <w:b w:val="false"/>
          <w:sz w:val="26"/>
        </w:rPr>
        <w:t>+ Bước 2. Cơ quan thuế tiếp nhận:
Trường hợp hồ sơ được nộp trực tiếp tại Trung tâm Phục vụ hành chính công cấp tỉnh/cấp xã hoặc hồ sơ được gửi qua đường bưu chính: cơ quan thuế thực hiện tiếp nhận, giải quyết hồ sơ theo quy định. Trường hợp hồ sơ được nộp đến cơ quan thuế thông qua giao dịch điện tử, việc tiếp nhận, kiểm tra, chấp nhận, giải quyết hồ sơ thông qua hệ thống xử lý dữ liệu điện tử của cơ quan thuế.</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Không  phải trả kết quả cho người nộp thuế. </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Không  phải trả kết quả cho người nộp thuế. </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Không  phải trả kết quả cho người nộp thuế. </w:t>
            </w:r>
          </w:p>
        </w:tc>
        <w:tc>
          <w:p/>
          <w:p>
            <w:pPr>
              <w:spacing w:after="0" w:before="0" w:lineRule="auto" w:line="276"/>
              <w:jc w:val="left"/>
            </w:pPr>
            <w:r>
              <w:rPr>
                <w:rFonts w:ascii="Times New Roman" w:hAnsi="Times New Roman" w:cs="Times New Roman" w:eastAsia="Times New Roman"/>
                <w:b w:val="false"/>
                <w:sz w:val="26"/>
              </w:rPr>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 (ii) Khai quyết toán thuế đối với Nhà thầu nước ngoài, nhà thầu phụ nước ngoài: (i3) Đối với Nhà thầu nước ngoài, nhà thầu phụ nước ngoài nộp thuế GTGT theo phương pháp tính trực tiếp trên GTGT, nộp thuế TNDN theo tỷ lệ % tính trên doanh thu đối với hoạt động kinh doanh và các loại thu nhập khác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khai thuế 02/NTNN ban hành kèm theo Thông tư số 80/2021/TT-BTC ngày 29/9/2021 hướng dẫn thi hành một số điều của Luật Quản lý thuế và Nghị định số 126/2020/NĐ-CP ngày 19/10/2020 của Chính phủ quy định chi tiết một số điều của Luật quản lý thuế</w:t>
            </w:r>
          </w:p>
        </w:tc>
        <w:tc>
          <w:p/>
          <w:p>
            <w:pPr>
              <w:spacing w:after="0" w:before="0" w:lineRule="auto" w:line="276"/>
              <w:jc w:val="left"/>
            </w:pPr>
            <w:r>
              <w:rPr>
                <w:rFonts w:ascii="Times New Roman" w:hAnsi="Times New Roman" w:cs="Times New Roman" w:eastAsia="Times New Roman"/>
                <w:b w:val="false"/>
                <w:sz w:val="26"/>
              </w:rPr>
              <w:t>mẫu 02.NTNN.doc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Phụ lục Bảng kê các Nhà thầu nước ngoài theo mẫu số 02-1/NTNN do Bộ Tài chính ban hành</w:t>
            </w:r>
          </w:p>
        </w:tc>
        <w:tc>
          <w:p/>
          <w:p>
            <w:pPr>
              <w:spacing w:after="0" w:before="0" w:lineRule="auto" w:line="276"/>
              <w:jc w:val="left"/>
            </w:pPr>
            <w:r>
              <w:rPr>
                <w:rFonts w:ascii="Times New Roman" w:hAnsi="Times New Roman" w:cs="Times New Roman" w:eastAsia="Times New Roman"/>
                <w:b w:val="false"/>
                <w:sz w:val="26"/>
              </w:rPr>
              <w:t>Mu02.1.NTNN.doc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Phụ lục Bảng kê các nhà thầu phụ tham gia thực hiện hợp đồng nhà thầu theo mẫu số 02-2/NTNN do Bộ tài chính ban hành</w:t>
            </w:r>
          </w:p>
        </w:tc>
        <w:tc>
          <w:p/>
          <w:p>
            <w:pPr>
              <w:spacing w:after="0" w:before="0" w:lineRule="auto" w:line="276"/>
              <w:jc w:val="left"/>
            </w:pPr>
            <w:r>
              <w:rPr>
                <w:rFonts w:ascii="Times New Roman" w:hAnsi="Times New Roman" w:cs="Times New Roman" w:eastAsia="Times New Roman"/>
                <w:b w:val="false"/>
                <w:sz w:val="26"/>
              </w:rPr>
              <w:t>mu02.2.NTNN.doc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(i) Khai thuế đối với nhà thầu nước ngoài, nhà thầu phụ nước ngoài: (i1) Đối với Nhà thầu nước ngoài, nhà thầu phụ nước ngoài nộp thuế GTGT theo phương pháp tính trực tiếp trên GTGT, nộp thuế TNDN theo tỷ lệ % tính trên doanh thu đối với hoạt động kinh doanh và các loại thu nhập khác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khai thuế 01/NTNN ban hành kèm theo Thông tư số 80/2021/TT-BTC ngày 29/9/2021 hướng dẫn thi hành một số điều của Luật Quản lý thuế và Nghị định số 126/2020/NĐ-CP ngày 19/10/2020 của Chính phủ quy định chi tiết một số điều của Luật quản lý thuế</w:t>
            </w:r>
          </w:p>
        </w:tc>
        <w:tc>
          <w:p/>
          <w:p>
            <w:pPr>
              <w:spacing w:after="0" w:before="0" w:lineRule="auto" w:line="276"/>
              <w:jc w:val="left"/>
            </w:pPr>
            <w:r>
              <w:rPr>
                <w:rFonts w:ascii="Times New Roman" w:hAnsi="Times New Roman" w:cs="Times New Roman" w:eastAsia="Times New Roman"/>
                <w:b w:val="false"/>
                <w:sz w:val="26"/>
              </w:rPr>
              <w:t>Mẫu 01.NTNN.doc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hợp đồng nhà thầu, hợp đồng nhà thầu phụ có xác nhận của người nộp thuế (đối với lần khai thuế đầu tiên của hợp đồng nhà thầu)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(i2) Đối với Nhà thầu nước ngoài, Nhà thầu phụ nước ngoài trực tiếp thực hiện khai thuế GTGT theo phương pháp khấu trừ, thuế TNDN theo tỷ lệ % tính trên doanh thu:</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khai thuế Nhà thầu nước ngoài (áp dụng đối với NTNN nộp thuế TNDN theo tỷ lệ trên doanh thu) mẫu biểu số 03/NTNN ban hành kèm theo Thông tư số 80/2021/TT-BTC ngày 29/9/2021 hướng dẫn thi hành một số điều của Luật Quản lý thuế và Nghị định số 126/2020/NĐ-CP ngày 19/10/2020 của Chính phủ quy định chi tiết một số điều của Luật quản lý thuế</w:t>
            </w:r>
          </w:p>
        </w:tc>
        <w:tc>
          <w:p/>
          <w:p>
            <w:pPr>
              <w:spacing w:after="0" w:before="0" w:lineRule="auto" w:line="276"/>
              <w:jc w:val="left"/>
            </w:pPr>
            <w:r>
              <w:rPr>
                <w:rFonts w:ascii="Times New Roman" w:hAnsi="Times New Roman" w:cs="Times New Roman" w:eastAsia="Times New Roman"/>
                <w:b w:val="false"/>
                <w:sz w:val="26"/>
              </w:rPr>
              <w:t>Mẫu 03.NTNN.doc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hợp đồng nhà thầu, hợp đồng nhà thầu phụ có xác nhận của người nộp thuế (đối với lần khai thuế đầu tiên của hợp đồng nhà thầu);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(i4) Đối với nhà thầu nước ngoài, nhà thầu phụ nước ngoài nộp thuế GTGT theo phương pháp khấu trừ, thuế TNDN theo tỷ lệ % tính trên doanh thu:</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khai thuế nhà thầu nước ngoài (áp dụng đối với NTNN nộp thuế TNDN theo tỷ lệ trên doanh thu) mẫu biểu số 04/NTNN ban hành kèm theo Thông tư số 80/2021/TT-BTC ngày 29/9/2021 hướng dẫn thi hành một số điều của Luật Quản lý thuế và Nghị định số 126/2020/NĐ-CP ngày 19/10/2020 của Chính phủ quy định chi tiết một số điều của Luật quản lý thuế</w:t>
            </w:r>
          </w:p>
        </w:tc>
        <w:tc>
          <w:p/>
          <w:p>
            <w:pPr>
              <w:spacing w:after="0" w:before="0" w:lineRule="auto" w:line="276"/>
              <w:jc w:val="left"/>
            </w:pPr>
            <w:r>
              <w:rPr>
                <w:rFonts w:ascii="Times New Roman" w:hAnsi="Times New Roman" w:cs="Times New Roman" w:eastAsia="Times New Roman"/>
                <w:b w:val="false"/>
                <w:sz w:val="26"/>
              </w:rPr>
              <w:t>Mu04.NTNN.doc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Bảng kê chứng từ nộp thuế;</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Thanh lý hợp đồng nhà thầu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Thuế cơ sở, Thuế tỉnh, thành phố</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Thuế tỉnh, thành phố/Thuế cơ sở</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Hồ sơ gửi đến cơ quan thuế không có kết quả giải quyết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38/2019/QH14</w:t>
            </w:r>
          </w:p>
        </w:tc>
        <w:tc>
          <w:p/>
          <w:p>
            <w:pPr>
              <w:spacing w:after="0" w:before="0" w:lineRule="auto" w:line="276"/>
              <w:jc w:val="left"/>
            </w:pPr>
            <w:r>
              <w:rPr>
                <w:rFonts w:ascii="Times New Roman" w:hAnsi="Times New Roman" w:cs="Times New Roman" w:eastAsia="Times New Roman"/>
                <w:b w:val="false"/>
                <w:sz w:val="26"/>
              </w:rPr>
              <w:t>Luật 38/2019/QH14</w:t>
            </w:r>
          </w:p>
        </w:tc>
        <w:tc>
          <w:p/>
          <w:p>
            <w:pPr>
              <w:spacing w:after="0" w:before="0" w:lineRule="auto" w:line="276"/>
              <w:jc w:val="left"/>
            </w:pPr>
            <w:r>
              <w:rPr>
                <w:rFonts w:ascii="Times New Roman" w:hAnsi="Times New Roman" w:cs="Times New Roman" w:eastAsia="Times New Roman"/>
                <w:b w:val="false"/>
                <w:sz w:val="26"/>
              </w:rPr>
              <w:t>13-06-2019</w:t>
            </w:r>
          </w:p>
        </w:tc>
        <w:tc>
          <w:p/>
        </w:tc>
      </w:tr>
      <w:tr>
        <w:tc>
          <w:p/>
          <w:p>
            <w:pPr>
              <w:spacing w:after="0" w:before="0" w:lineRule="auto" w:line="276"/>
              <w:jc w:val="left"/>
            </w:pPr>
            <w:r>
              <w:rPr>
                <w:rFonts w:ascii="Times New Roman" w:hAnsi="Times New Roman" w:cs="Times New Roman" w:eastAsia="Times New Roman"/>
                <w:b w:val="false"/>
                <w:sz w:val="26"/>
              </w:rPr>
              <w:t>80/2021/TT-BTC</w:t>
            </w:r>
          </w:p>
        </w:tc>
        <w:tc>
          <w:p/>
          <w:p>
            <w:pPr>
              <w:spacing w:after="0" w:before="0" w:lineRule="auto" w:line="276"/>
              <w:jc w:val="left"/>
            </w:pPr>
            <w:r>
              <w:rPr>
                <w:rFonts w:ascii="Times New Roman" w:hAnsi="Times New Roman" w:cs="Times New Roman" w:eastAsia="Times New Roman"/>
                <w:b w:val="false"/>
                <w:sz w:val="26"/>
              </w:rPr>
              <w:t>Thông tư 80/2021/TT-BTC</w:t>
            </w:r>
          </w:p>
        </w:tc>
        <w:tc>
          <w:p/>
          <w:p>
            <w:pPr>
              <w:spacing w:after="0" w:before="0" w:lineRule="auto" w:line="276"/>
              <w:jc w:val="left"/>
            </w:pPr>
            <w:r>
              <w:rPr>
                <w:rFonts w:ascii="Times New Roman" w:hAnsi="Times New Roman" w:cs="Times New Roman" w:eastAsia="Times New Roman"/>
                <w:b w:val="false"/>
                <w:sz w:val="26"/>
              </w:rPr>
              <w:t>29-09-2021</w:t>
            </w:r>
          </w:p>
        </w:tc>
        <w:tc>
          <w:p/>
        </w:tc>
      </w:tr>
      <w:tr>
        <w:tc>
          <w:p/>
          <w:p>
            <w:pPr>
              <w:spacing w:after="0" w:before="0" w:lineRule="auto" w:line="276"/>
              <w:jc w:val="left"/>
            </w:pPr>
            <w:r>
              <w:rPr>
                <w:rFonts w:ascii="Times New Roman" w:hAnsi="Times New Roman" w:cs="Times New Roman" w:eastAsia="Times New Roman"/>
                <w:b w:val="false"/>
                <w:sz w:val="26"/>
              </w:rPr>
              <w:t>126/2020/NĐ-CP</w:t>
            </w:r>
          </w:p>
        </w:tc>
        <w:tc>
          <w:p/>
          <w:p>
            <w:pPr>
              <w:spacing w:after="0" w:before="0" w:lineRule="auto" w:line="276"/>
              <w:jc w:val="left"/>
            </w:pPr>
            <w:r>
              <w:rPr>
                <w:rFonts w:ascii="Times New Roman" w:hAnsi="Times New Roman" w:cs="Times New Roman" w:eastAsia="Times New Roman"/>
                <w:b w:val="false"/>
                <w:sz w:val="26"/>
              </w:rPr>
              <w:t>Nghị định 126/2020/NĐ-CP</w:t>
            </w:r>
          </w:p>
        </w:tc>
        <w:tc>
          <w:p/>
          <w:p>
            <w:pPr>
              <w:spacing w:after="0" w:before="0" w:lineRule="auto" w:line="276"/>
              <w:jc w:val="left"/>
            </w:pPr>
            <w:r>
              <w:rPr>
                <w:rFonts w:ascii="Times New Roman" w:hAnsi="Times New Roman" w:cs="Times New Roman" w:eastAsia="Times New Roman"/>
                <w:b w:val="false"/>
                <w:sz w:val="26"/>
              </w:rPr>
              <w:t>19-10-2020</w:t>
            </w:r>
          </w:p>
        </w:tc>
        <w:tc>
          <w:p/>
        </w:tc>
      </w:tr>
      <w:tr>
        <w:tc>
          <w:p/>
          <w:p>
            <w:pPr>
              <w:spacing w:after="0" w:before="0" w:lineRule="auto" w:line="276"/>
              <w:jc w:val="left"/>
            </w:pPr>
            <w:r>
              <w:rPr>
                <w:rFonts w:ascii="Times New Roman" w:hAnsi="Times New Roman" w:cs="Times New Roman" w:eastAsia="Times New Roman"/>
                <w:b w:val="false"/>
                <w:sz w:val="26"/>
              </w:rPr>
              <w:t>19/2021/TT-BTC</w:t>
            </w:r>
          </w:p>
        </w:tc>
        <w:tc>
          <w:p/>
          <w:p>
            <w:pPr>
              <w:spacing w:after="0" w:before="0" w:lineRule="auto" w:line="276"/>
              <w:jc w:val="left"/>
            </w:pPr>
            <w:r>
              <w:rPr>
                <w:rFonts w:ascii="Times New Roman" w:hAnsi="Times New Roman" w:cs="Times New Roman" w:eastAsia="Times New Roman"/>
                <w:b w:val="false"/>
                <w:sz w:val="26"/>
              </w:rPr>
              <w:t>Thông tư 19/2021/TT-BTC</w:t>
            </w:r>
          </w:p>
        </w:tc>
        <w:tc>
          <w:p/>
          <w:p>
            <w:pPr>
              <w:spacing w:after="0" w:before="0" w:lineRule="auto" w:line="276"/>
              <w:jc w:val="left"/>
            </w:pPr>
            <w:r>
              <w:rPr>
                <w:rFonts w:ascii="Times New Roman" w:hAnsi="Times New Roman" w:cs="Times New Roman" w:eastAsia="Times New Roman"/>
                <w:b w:val="false"/>
                <w:sz w:val="26"/>
              </w:rPr>
              <w:t>18-03-2021</w:t>
            </w:r>
          </w:p>
        </w:tc>
        <w:tc>
          <w:p/>
        </w:tc>
      </w:tr>
      <w:tr>
        <w:tc>
          <w:p/>
          <w:p>
            <w:pPr>
              <w:spacing w:after="0" w:before="0" w:lineRule="auto" w:line="276"/>
              <w:jc w:val="left"/>
            </w:pPr>
            <w:r>
              <w:rPr>
                <w:rFonts w:ascii="Times New Roman" w:hAnsi="Times New Roman" w:cs="Times New Roman" w:eastAsia="Times New Roman"/>
                <w:b w:val="false"/>
                <w:sz w:val="26"/>
              </w:rPr>
              <w:t>46/2024/TT-BTC</w:t>
            </w:r>
          </w:p>
        </w:tc>
        <w:tc>
          <w:p/>
          <w:p>
            <w:pPr>
              <w:spacing w:after="0" w:before="0" w:lineRule="auto" w:line="276"/>
              <w:jc w:val="left"/>
            </w:pPr>
            <w:r>
              <w:rPr>
                <w:rFonts w:ascii="Times New Roman" w:hAnsi="Times New Roman" w:cs="Times New Roman" w:eastAsia="Times New Roman"/>
                <w:b w:val="false"/>
                <w:sz w:val="26"/>
              </w:rPr>
              <w:t>46/2024/TT-BTC</w:t>
            </w:r>
          </w:p>
        </w:tc>
        <w:tc>
          <w:p/>
          <w:p>
            <w:pPr>
              <w:spacing w:after="0" w:before="0" w:lineRule="auto" w:line="276"/>
              <w:jc w:val="left"/>
            </w:pPr>
            <w:r>
              <w:rPr>
                <w:rFonts w:ascii="Times New Roman" w:hAnsi="Times New Roman" w:cs="Times New Roman" w:eastAsia="Times New Roman"/>
                <w:b w:val="false"/>
                <w:sz w:val="26"/>
              </w:rPr>
              <w:t>09-07-2024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91/2022/NĐ-CP</w:t>
            </w:r>
          </w:p>
        </w:tc>
        <w:tc>
          <w:p/>
          <w:p>
            <w:pPr>
              <w:spacing w:after="0" w:before="0" w:lineRule="auto" w:line="276"/>
              <w:jc w:val="left"/>
            </w:pPr>
            <w:r>
              <w:rPr>
                <w:rFonts w:ascii="Times New Roman" w:hAnsi="Times New Roman" w:cs="Times New Roman" w:eastAsia="Times New Roman"/>
                <w:b w:val="false"/>
                <w:sz w:val="26"/>
              </w:rPr>
              <w:t>Nghị định số 91/2022/NĐ-CP sửa đổi bổ sung một số điều của Nghị định số 126/2020/NĐ-CP ngày 19/10/2020 của Chính phủ quy định chi tiết một số điều của Luật Quản lý thuế</w:t>
            </w:r>
          </w:p>
        </w:tc>
        <w:tc>
          <w:p/>
          <w:p>
            <w:pPr>
              <w:spacing w:after="0" w:before="0" w:lineRule="auto" w:line="276"/>
              <w:jc w:val="left"/>
            </w:pPr>
            <w:r>
              <w:rPr>
                <w:rFonts w:ascii="Times New Roman" w:hAnsi="Times New Roman" w:cs="Times New Roman" w:eastAsia="Times New Roman"/>
                <w:b w:val="false"/>
                <w:sz w:val="26"/>
              </w:rPr>
              <w:t>30-10-2022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373/2025/NĐ-CP</w:t>
            </w:r>
          </w:p>
        </w:tc>
        <w:tc>
          <w:p/>
          <w:p>
            <w:pPr>
              <w:spacing w:after="0" w:before="0" w:lineRule="auto" w:line="276"/>
              <w:jc w:val="left"/>
            </w:pPr>
            <w:r>
              <w:rPr>
                <w:rFonts w:ascii="Times New Roman" w:hAnsi="Times New Roman" w:cs="Times New Roman" w:eastAsia="Times New Roman"/>
                <w:b w:val="false"/>
                <w:sz w:val="26"/>
              </w:rPr>
              <w:t>Nghị định số 373/2025/NĐ-CP của Chính phủ: Sửa đổi, bổ sung một số điều của Nghị định số 126/2020/NĐ-CP ngày 19 tháng 10 năm 2020 của Chính phủ quy định chi tiết một số điều của Luật Quản lý thuế</w:t>
            </w:r>
          </w:p>
        </w:tc>
        <w:tc>
          <w:p/>
          <w:p>
            <w:pPr>
              <w:spacing w:after="0" w:before="0" w:lineRule="auto" w:line="276"/>
              <w:jc w:val="left"/>
            </w:pPr>
            <w:r>
              <w:rPr>
                <w:rFonts w:ascii="Times New Roman" w:hAnsi="Times New Roman" w:cs="Times New Roman" w:eastAsia="Times New Roman"/>
                <w:b w:val="false"/>
                <w:sz w:val="26"/>
              </w:rPr>
              <w:t>31-12-2025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Trường hợp người nộp thuế lựa chọn và gửi hồ sơ đến cơ quan thuế thông qua giao dịch điện tử thì phải tuân thủ đúng, đầy đủ các quy định và điều kiện thực hiện giao dịch điện tử trong lĩnh vực thuế tại Thông tư số 19/2021/TT-BTC ngày 18/3/2021 và Thông tư số 46/2024/TT-BTC của 09/07/2025 sửa đổi, bổ sung một số điều của Thông tư số 19/2021/TT-BTC ngày 18/3/2021 hướng dẫn giao dịch điện tử trong lĩnh vực thuế của Bộ Tài chính.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2026-05-21T16:39:46Z</dcterms:created>
  <dc:creator>Apache POI</dc:creator>
</cp:coreProperties>
</file>