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1.008346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quyết toán thuế thu nhập doanh nghiệp theo phương pháp doanh thu - chi phí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nộp thuế thu nhập doanh nghiệp tính thuế theo phương pháp doanh thu - chi phí theo quy định của pháp luật về thuế thu nhập doanh nghiệp chuẩn bị số liệu, lập hồ sơ khai thuế và gửi đến cơ quan thuế quản lý trực tiếp chậm nhất là ngày cuối cùng của tháng thứ 3 kể từ ngày kết thúc năm dương lịch hoặc năm tài chính đối với trường hợp khai quyết toán thuế thu nhập doanh nghiệp năm; chậm nhất là ngày thứ 45 (bốn mươi lăm), kể từ ngày có quyết định giải thể, phá sản, chấm dứt hoạt động hoặc tổ chức lại doanh nghiệp. Trường hợp người nộp thuế có đơn vị phụ thuộc, địa điểm kinh doanh khác tỉnh, thành phố nơi có trụ sở chính có thu nhập được hưởng ưu đãi thuế thu nhập doanh nghiệp thì lập hồ sơ khai quyết toán thuế đối với hoạt động được hưởng ưu đãi thuế thu nhập doanh nghiệp theo mẫu số 03-3A/TNDN, 03-3B/TNDN, 03-3C/TNDN, 03-3D/TNDN ban hành kèm theo phụ lục II Thông tư số 80/2021/TT-BTC ngày 29/9/2021 của Bộ Tài chính, gửi đến cơ quan thuế nơi có đơn vị được hưởng ưu đãi khác tỉnh chậm nhất là ngày cuối cùng của tháng thứ 3 kể từ ngày kết thúc năm dương lịch hoặc năm tài chính đối với trường hợp khai quyết toán thuế thu nhập doanh nghiệp năm; chậm nhất là ngày thứ 45 (bốn mươi lăm), kể từ ngày có quyết định giải thể, phá sản, chấm dứt hoạt động hoặc tổ chức lại doanh nghiệp; đồng thời người nộp thuế gửi các Phụ lục này cùng hồ sơ khai quyết toán thuế 03/TNDN ban hành kèm theo phụ lục II Thông tư số 80/2021/TT-BTC ngày 29/9/2021 của Bộ Tài chính đến cơ quan thuế quản lý trực tiếp.
Trường hợp chuyển đổi loại hình doanh nghiệp (không bao gồm doanh nghiệp nhà nước cổ phần hóa) mà doanh nghiệp chuyển đổi kế thừa toàn bộ nghĩa vụ về thuế của doanh nghiệp được chuyển đổi thì không phải khai quyết toán thuế đến thời điểm có quyết định về việc chuyển đổi doanh nghiệp, doanh nghiệp khai quyết toán khi kết thúc năm.
Trường hợp người nộp thuế thu nhập doanh nghiệp tính thuế theo phương pháp doanh thu - chi phí theo quy định của pháp luật về thuế thu nhập doanh nghiệp thực hiện tạm nộp thuế thu nhập doanh nghiệp theo quý (bao gồm cả tạm phân bổ số thuế thu nhập doanh nghiệp cho địa bàn cấp tỉnh nơi có đơn vị phụ thuộc, địa điểm kinh doanh, nơi có bất động sản chuyển nhượng khác với nơi người nộp thuế đóng trụ sở chính) chậm nhất là ngày 30 của tháng đầu quý sau và khai quyết toán thuế thu nhập doanh nghiệp năm.
++ Trường hợp người nộp thuế gửi hồ sơ qua giao dịch điện tử: Người nộp thuế (NNT) truy cập vào Cổng thông tin điện tử mà người nộp thuế lựa chọn (Cổng dịch vụ công quốc gia theo quy định về thực hiện cơ chế một cửa, một cửa liên thông trong giải quyết thủ tục hành chính và đã được kết nối với Cổng thông tin điện tử của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
++ Trường hợp NNT nộp hồ sơ trực tiếp hoặc gửi qua đường bưu chính: NNT lập hồ sơ giấy, ký và gửi đến cơ quan thuế qua Trung tâm Phục vụ hành chính công cấp tỉnh hoặc qua Trung tâm Phục vụ hành chính công cấp xã hoặc qua đường bưu chính.</w:t>
      </w:r>
    </w:p>
    <w:p>
      <w:pPr>
        <w:spacing w:after="0" w:before="0" w:lineRule="auto" w:line="276"/>
        <w:jc w:val="both"/>
      </w:pPr>
      <w:r>
        <w:rPr>
          <w:rFonts w:ascii="Times New Roman" w:hAnsi="Times New Roman" w:cs="Times New Roman" w:eastAsia="Times New Roman"/>
          <w:b w:val="false"/>
          <w:sz w:val="26"/>
        </w:rPr>
        <w:t>+ Bước 2. Cơ quan thuế tiếp nhận:
++ Trường hợp hồ sơ được nộp qua giao dịch điện tử thì việc tiếp nhận và kiểm tra, chấp nhận hồ sơ thực hiện như sau:
+++ Tiếp nhận hồ sơ: Cổng thông tin điện tử gửi thông báo cho NNT về việc tiếp nhận hồ sơ của NNT hoặc thông báo lý do không tiếp nhận hồ sơ của NNT chậm nhất 15 phút kể từ khi nhận được hồ sơ điện tử của NNT.
Cơ quan thuế thực hiện kiểm tra, giải quyết hồ sơ khai thuế của NNT theo quy định của Luật Quản lý thuế và các văn bản hướng dẫn thi hành. Cơ quan thuế kiểm tra hồ sơ và gửi thông báo cho NNT về việc chấp nhận hoặc không chấp nhận hồ sơ của NNT qua Cổng thông tin điện tử mà người nộp thuế lựa chọn chậm nhất 01 ngày làm việc kể từ ngày ghi trên thông báo tiếp nhận hồ sơ điện tử của NNT.
++ Trường hợp hồ sơ được nộp trực tiếp hoặc gửi qua đường bưu chính: cơ quan thuế thực hiện tiếp nhận, đóng dấu tiếp nhận hồ sơ của NNT (nếu hồ sơ đã đầy đủ, đúng quy định) hoặc hướng dẫn NNT hoàn thiện hồ sơ (nếu hồ sơ không đầy đủ, không đúng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(ii) Hồ sơ khai quyết toán đối với người nộp thuế có đơn vị phụ thuộc, địa điểm kinh doanh khác tỉnh, thành phố nơi có trụ sở chính có thu nhập được hưởng ưu đãi thuế thu nhập doanh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quyết toán thuế thu nhập doanh nghiệp (áp dụng đối với phương pháp doanh thu - chi phí) theo mẫu số 03/TNDN tại Phụ lục I ban hành kèm theo Nghị định số 373/2025/NĐ-CP ngày 31/12/2025 của Chính phủ sửa đổi, bổ sung một số điều của Nghị định số 126/2020/NĐ-CP ngày 19/10/2020 của Chính phủ quy định chi tiết một số điều của Luật Quản lý thuế (sau đây gọi là Nghị định số 373/2025/NĐ-CP) và Phụ lục II ban hành kèm theo Thông tư số 80/2021/TT-BTC ngày 29/9/2021 của Bộ trưởng Bộ Tài chính hướng dẫn thi hành một số điều của Luật Quản lý thuế và Nghị định số 126/2020/NĐ-CP ngày 19/10/2020 của Chính phủ quy định chi tiết một số điều của Luật Quản lý thuế (sau đây gọi là Thông tư số 80/2021/TT-BTC).</w:t>
            </w:r>
          </w:p>
        </w:tc>
        <w:tc>
          <w:p/>
          <w:p>
            <w:pPr>
              <w:spacing w:after="0" w:before="0" w:lineRule="auto" w:line="276"/>
              <w:jc w:val="left"/>
            </w:pPr>
            <w:r>
              <w:rPr>
                <w:rFonts w:ascii="Times New Roman" w:hAnsi="Times New Roman" w:cs="Times New Roman" w:eastAsia="Times New Roman"/>
                <w:b w:val="false"/>
                <w:sz w:val="26"/>
              </w:rPr>
              <w:t>Mus03TNDN.docx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khai quyết toán thuế theo năm: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quyết toán thuế thu nhập doanh nghiệp (áp dụng đối với phương pháp doanh thu - chi phí) theo mẫu số 03/TNDN ban hành kèm theo Thông tư số 80/2021/TT-BTC;</w:t>
            </w:r>
          </w:p>
        </w:tc>
        <w:tc>
          <w:p/>
          <w:p>
            <w:pPr>
              <w:spacing w:after="0" w:before="0" w:lineRule="auto" w:line="276"/>
              <w:jc w:val="left"/>
            </w:pPr>
            <w:r>
              <w:rPr>
                <w:rFonts w:ascii="Times New Roman" w:hAnsi="Times New Roman" w:cs="Times New Roman" w:eastAsia="Times New Roman"/>
                <w:b w:val="false"/>
                <w:sz w:val="26"/>
              </w:rPr>
              <w:t>03.TNDN.docx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tài chính năm hoặc Báo cáo tài chính đến thời điểm có quyết định giải thể, phá sản, chấm dứt hoạt động hoặc tổ chức lại doanh nghiệp theo quy định của pháp luật về kế toán và pháp luật về kiểm toán độc lập (trừ trường hợp không phải lập báo cáo tài chính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-Một hoặc một số phụ lục kèm theo tờ khai (tuỳ theo thực tế phát sinh của người nộp thuế) ban hành kèm theo Thông tư số 80/2021/TT-BTC: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+Phụ lục kết quả hoạt động sản xuất kinh doanh theo mẫu số 03-1A/TNDN hoặc mẫu số 03-1B/TNDN hoặc mẫu số 03-1C/TNDN;</w:t>
            </w:r>
          </w:p>
        </w:tc>
        <w:tc>
          <w:p/>
          <w:p>
            <w:pPr>
              <w:spacing w:after="0" w:before="0" w:lineRule="auto" w:line="276"/>
              <w:jc w:val="left"/>
            </w:pPr>
            <w:r>
              <w:rPr>
                <w:rFonts w:ascii="Times New Roman" w:hAnsi="Times New Roman" w:cs="Times New Roman" w:eastAsia="Times New Roman"/>
                <w:b w:val="false"/>
                <w:sz w:val="26"/>
              </w:rPr>
              <w:t>Pl03.1ATNDN.docx</w:t>
            </w:r>
          </w:p>
          <w:p>
            <w:pPr>
              <w:spacing w:after="0" w:before="0" w:lineRule="auto" w:line="276"/>
              <w:jc w:val="left"/>
            </w:pPr>
            <w:r>
              <w:rPr>
                <w:rFonts w:ascii="Times New Roman" w:hAnsi="Times New Roman" w:cs="Times New Roman" w:eastAsia="Times New Roman"/>
                <w:b w:val="false"/>
                <w:sz w:val="26"/>
              </w:rPr>
              <w:t>03.1BTNDN.docx</w:t>
            </w:r>
          </w:p>
          <w:p>
            <w:pPr>
              <w:spacing w:after="0" w:before="0" w:lineRule="auto" w:line="276"/>
              <w:jc w:val="left"/>
            </w:pPr>
            <w:r>
              <w:rPr>
                <w:rFonts w:ascii="Times New Roman" w:hAnsi="Times New Roman" w:cs="Times New Roman" w:eastAsia="Times New Roman"/>
                <w:b w:val="false"/>
                <w:sz w:val="26"/>
              </w:rPr>
              <w:t>03.1CTNDN.docx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+Phụ lục chuyển lỗ theo mẫu số 03-2/TNDN;</w:t>
            </w:r>
          </w:p>
        </w:tc>
        <w:tc>
          <w:p/>
          <w:p>
            <w:pPr>
              <w:spacing w:after="0" w:before="0" w:lineRule="auto" w:line="276"/>
              <w:jc w:val="left"/>
            </w:pPr>
            <w:r>
              <w:rPr>
                <w:rFonts w:ascii="Times New Roman" w:hAnsi="Times New Roman" w:cs="Times New Roman" w:eastAsia="Times New Roman"/>
                <w:b w:val="false"/>
                <w:sz w:val="26"/>
              </w:rPr>
              <w:t>03.2TNDN.docx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+Phụ lục ưu đãi đối với thu nhập từ dự án đầu tư mới, thu nhập của doanh nghiệp được hưởng ưu đãi thuế thu nhập doanh nghiệp theo mẫu số 03-3A/TNDN;</w:t>
            </w:r>
          </w:p>
        </w:tc>
        <w:tc>
          <w:p/>
          <w:p>
            <w:pPr>
              <w:spacing w:after="0" w:before="0" w:lineRule="auto" w:line="276"/>
              <w:jc w:val="left"/>
            </w:pPr>
            <w:r>
              <w:rPr>
                <w:rFonts w:ascii="Times New Roman" w:hAnsi="Times New Roman" w:cs="Times New Roman" w:eastAsia="Times New Roman"/>
                <w:b w:val="false"/>
                <w:sz w:val="26"/>
              </w:rPr>
              <w:t>033ATNDN.docx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Phụ lục ưu đãi đối với cơ sở kinh doanh đầu tư mở rộng quy mô, nâng cao công suất, đổi mới công nghệ sản xuất (dự án đầu tư mở rộng) theo mẫu số 03-3B/TNDN;</w:t>
            </w:r>
          </w:p>
        </w:tc>
        <w:tc>
          <w:p/>
          <w:p>
            <w:pPr>
              <w:spacing w:after="0" w:before="0" w:lineRule="auto" w:line="276"/>
              <w:jc w:val="left"/>
            </w:pPr>
            <w:r>
              <w:rPr>
                <w:rFonts w:ascii="Times New Roman" w:hAnsi="Times New Roman" w:cs="Times New Roman" w:eastAsia="Times New Roman"/>
                <w:b w:val="false"/>
                <w:sz w:val="26"/>
              </w:rPr>
              <w:t>03-3BTNDN.docx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Phụ lục ưu đãi đối với doanh nghiệp sử dụng lao động là người dân tộc thiểu số hoặc doanh nghiệp hoạt động sản xuất, xây dựng, vận tải sử dụng nhiều lao động nữ theo mẫu số 03-3C/TNDN;</w:t>
            </w:r>
          </w:p>
        </w:tc>
        <w:tc>
          <w:p/>
          <w:p>
            <w:pPr>
              <w:spacing w:after="0" w:before="0" w:lineRule="auto" w:line="276"/>
              <w:jc w:val="left"/>
            </w:pPr>
            <w:r>
              <w:rPr>
                <w:rFonts w:ascii="Times New Roman" w:hAnsi="Times New Roman" w:cs="Times New Roman" w:eastAsia="Times New Roman"/>
                <w:b w:val="false"/>
                <w:sz w:val="26"/>
              </w:rPr>
              <w:t>033CTNDN.docx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Phụ lục ưu đãi đối với doanh nghiệp khoa học công nghệ hoặc doanh nghiệp thực hiện chuyển giao công nghệ thuộc lĩnh vực ưu tiên chuyển giao theo mẫu số 03-3D/TNDN;</w:t>
            </w:r>
          </w:p>
        </w:tc>
        <w:tc>
          <w:p/>
          <w:p>
            <w:pPr>
              <w:spacing w:after="0" w:before="0" w:lineRule="auto" w:line="276"/>
              <w:jc w:val="left"/>
            </w:pPr>
            <w:r>
              <w:rPr>
                <w:rFonts w:ascii="Times New Roman" w:hAnsi="Times New Roman" w:cs="Times New Roman" w:eastAsia="Times New Roman"/>
                <w:b w:val="false"/>
                <w:sz w:val="26"/>
              </w:rPr>
              <w:t>033DTNDN.docx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Phụ lục thuế thu nhập doanh nghiệp đã nộp ở nước ngoài theo mẫu số 03-4/TNDN;</w:t>
            </w:r>
          </w:p>
        </w:tc>
        <w:tc>
          <w:p/>
          <w:p>
            <w:pPr>
              <w:spacing w:after="0" w:before="0" w:lineRule="auto" w:line="276"/>
              <w:jc w:val="left"/>
            </w:pPr>
            <w:r>
              <w:rPr>
                <w:rFonts w:ascii="Times New Roman" w:hAnsi="Times New Roman" w:cs="Times New Roman" w:eastAsia="Times New Roman"/>
                <w:b w:val="false"/>
                <w:sz w:val="26"/>
              </w:rPr>
              <w:t>03.4TNDN.docx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Phụ lục thuế thu nhập doanh nghiệp đối với hoạt động chuyển nhượng bất động sản theo mẫu số 03-5/TNDN;</w:t>
            </w:r>
          </w:p>
        </w:tc>
        <w:tc>
          <w:p/>
          <w:p>
            <w:pPr>
              <w:spacing w:after="0" w:before="0" w:lineRule="auto" w:line="276"/>
              <w:jc w:val="left"/>
            </w:pPr>
            <w:r>
              <w:rPr>
                <w:rFonts w:ascii="Times New Roman" w:hAnsi="Times New Roman" w:cs="Times New Roman" w:eastAsia="Times New Roman"/>
                <w:b w:val="false"/>
                <w:sz w:val="26"/>
              </w:rPr>
              <w:t>03.5TNDN.docx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Phụ lục báo cáo trích, sử dụng quỹ khoa học và công nghệ theo mẫu số 03-6/TNDN;</w:t>
            </w:r>
          </w:p>
        </w:tc>
        <w:tc>
          <w:p/>
          <w:p>
            <w:pPr>
              <w:spacing w:after="0" w:before="0" w:lineRule="auto" w:line="276"/>
              <w:jc w:val="left"/>
            </w:pPr>
            <w:r>
              <w:rPr>
                <w:rFonts w:ascii="Times New Roman" w:hAnsi="Times New Roman" w:cs="Times New Roman" w:eastAsia="Times New Roman"/>
                <w:b w:val="false"/>
                <w:sz w:val="26"/>
              </w:rPr>
              <w:t>03.6TNDN.docx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Phụ lục bảng phân bổ số thuế thu nhập doanh nghiệp phải nộp cho các địa phương nơi được hưởng nguồn thu đối với cơ sở sản xuất theo mẫu 03-8/TNDN;</w:t>
            </w:r>
          </w:p>
        </w:tc>
        <w:tc>
          <w:p/>
          <w:p>
            <w:pPr>
              <w:spacing w:after="0" w:before="0" w:lineRule="auto" w:line="276"/>
              <w:jc w:val="left"/>
            </w:pPr>
            <w:r>
              <w:rPr>
                <w:rFonts w:ascii="Times New Roman" w:hAnsi="Times New Roman" w:cs="Times New Roman" w:eastAsia="Times New Roman"/>
                <w:b w:val="false"/>
                <w:sz w:val="26"/>
              </w:rPr>
              <w:t>038TNDNbngphnb.docx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Phụ lục bảng phân bổ số thuế thu nhập doanh nghiệp phải nộp cho các địa phương nơi được hưởng nguồn thu đối với hoạt động chuyển nhượng bất động sản theo mẫu 03-8A/TNDN;</w:t>
            </w:r>
          </w:p>
        </w:tc>
        <w:tc>
          <w:p/>
          <w:p>
            <w:pPr>
              <w:spacing w:after="0" w:before="0" w:lineRule="auto" w:line="276"/>
              <w:jc w:val="left"/>
            </w:pPr>
            <w:r>
              <w:rPr>
                <w:rFonts w:ascii="Times New Roman" w:hAnsi="Times New Roman" w:cs="Times New Roman" w:eastAsia="Times New Roman"/>
                <w:b w:val="false"/>
                <w:sz w:val="26"/>
              </w:rPr>
              <w:t>038ATNDNbngphnb.docx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Phụ lục bảng phân bổ số thuế thu nhập doanh nghiệp phải nộp cho các địa phương nơi được hưởng nguồn thu đối với hoạt động sản xuất thủy điện theo mẫu 03-8B/TNDN;</w:t>
            </w:r>
          </w:p>
        </w:tc>
        <w:tc>
          <w:p/>
          <w:p>
            <w:pPr>
              <w:spacing w:after="0" w:before="0" w:lineRule="auto" w:line="276"/>
              <w:jc w:val="left"/>
            </w:pPr>
            <w:r>
              <w:rPr>
                <w:rFonts w:ascii="Times New Roman" w:hAnsi="Times New Roman" w:cs="Times New Roman" w:eastAsia="Times New Roman"/>
                <w:b w:val="false"/>
                <w:sz w:val="26"/>
              </w:rPr>
              <w:t>038BTNDN.docx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Phụ lục bảng phân bổ số thuế thu nhập doanh nghiệp phải nộp cho các địa phương nơi được hưởng nguồn thu đối với hoạt động kinh doanh xổ số điện toán theo mẫu 03-8C/TNDN;</w:t>
            </w:r>
          </w:p>
        </w:tc>
        <w:tc>
          <w:p/>
          <w:p>
            <w:pPr>
              <w:spacing w:after="0" w:before="0" w:lineRule="auto" w:line="276"/>
              <w:jc w:val="left"/>
            </w:pPr>
            <w:r>
              <w:rPr>
                <w:rFonts w:ascii="Times New Roman" w:hAnsi="Times New Roman" w:cs="Times New Roman" w:eastAsia="Times New Roman"/>
                <w:b w:val="false"/>
                <w:sz w:val="26"/>
              </w:rPr>
              <w:t>038CTNDN.docx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Phụ lục bảng kê chứng từ nộp tiền thuế thu nhập doanh nghiệp tạm nộp của hoạt động chuyển nhượng bất động sản thu tiền theo tiến độ chưa bàn giao trong năm theo mẫu 03-9/TNDN.</w:t>
            </w:r>
          </w:p>
        </w:tc>
        <w:tc>
          <w:p/>
          <w:p>
            <w:pPr>
              <w:spacing w:after="0" w:before="0" w:lineRule="auto" w:line="276"/>
              <w:jc w:val="left"/>
            </w:pPr>
            <w:r>
              <w:rPr>
                <w:rFonts w:ascii="Times New Roman" w:hAnsi="Times New Roman" w:cs="Times New Roman" w:eastAsia="Times New Roman"/>
                <w:b w:val="false"/>
                <w:sz w:val="26"/>
              </w:rPr>
              <w:t>039TNDN.docx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doanh nghiệp có dự án đầu tư ở nước ngoài, ngoài các hồ sơ nêu trên, doanh nghiệp phải bổ sung: Bản chụp Tờ khai thuế thu nhập ở nước ngoài có xác nhận của người nộp thuế; Bản chụp chứng từ nộp thuế ở nước ngoài có xác nhận của người nộp thuế hoặc bản gốc xác nhận của cơ quan thuế nước ngoài về số thuế đã nộp hoặc bản chụp chứng từ có giá trị tương đương có xác nhận của người nộp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người nộp thuế có quan hệ liên kết và phát sinh giao dịch liên kết thuộc đối tượng áp dụng và phạm vi điều chỉnh của Nghị định số 132/2020/NĐ-CP ngày 05/11/2020 của Chính phủ về quản lý thuế đối với doanh nghiệp có giao dịch liên kết (đã được sửa đổi, bổ sung, sau đây gọi là: Nghị định số 132/2020/NĐ-CP ngày 05/11/2020 của Chính phủ).  Phụ lục thông tin về quan hệ liên kết và giao dịch liên kết theo: Phụ lục I ban hành kèm theo Nghị định số 20/2025/NĐ-CP ngày 10/02/2025 của Chính phủ; phụ lục II, phụ lục III, phụ lục IV ban hành kèm theo Nghị định số 132/2020/NĐ-CP ngày 5/11/2020 của Chính phủ và nộp cùng tờ khai quyết toán thuế TNDN được sửa đổi, bổ sung. Trong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Phụ lục I - Thông tin về quan hệ liên kết và giao dịch liên kết của người nộp thuế thuộc đối tượng áp dụng của Nghị định số 132/2020/NĐ-CP và Nghị định số 20/2025/NĐ-CP ngày 10/02/2025 của Chính phủ sửa đổi, bổ sung một số điều của Nghị định số 132/2020/NĐ-CP. Tất cả người nộp thuế thuộc đối tượng áp dụng của Nghị định số 132/2020/NĐ-CP và Nghị định số 20/2025/NĐ-CP ngày 10/02/2025 của Chính phủ sửa đổi, bổ sung một số điều của Nghị định số 132/2020/NĐ-CP.</w:t>
            </w:r>
          </w:p>
        </w:tc>
        <w:tc>
          <w:p/>
          <w:p>
            <w:pPr>
              <w:spacing w:after="0" w:before="0" w:lineRule="auto" w:line="276"/>
              <w:jc w:val="left"/>
            </w:pPr>
            <w:r>
              <w:rPr>
                <w:rFonts w:ascii="Times New Roman" w:hAnsi="Times New Roman" w:cs="Times New Roman" w:eastAsia="Times New Roman"/>
                <w:b w:val="false"/>
                <w:sz w:val="26"/>
              </w:rPr>
              <w:t>PLITNDNquanhlinkt.doc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Phụ lục II - Danh mục các thông tin, tài liệu cần cung cấp tại hồ sơ quốc gia: Tất cả người nộp thuế thuộc đối tượng áp dụng của Nghị định số 132/2020/NĐ-CP (trừ người nộp thuế thuộc đối tượng được miễn trừ nghĩa vụ theo quy định tại Điều 19 Nghị định 132/2020/NĐ-CP).</w:t>
            </w:r>
          </w:p>
        </w:tc>
        <w:tc>
          <w:p/>
          <w:p>
            <w:pPr>
              <w:spacing w:after="0" w:before="0" w:lineRule="auto" w:line="276"/>
              <w:jc w:val="left"/>
            </w:pPr>
            <w:r>
              <w:rPr>
                <w:rFonts w:ascii="Times New Roman" w:hAnsi="Times New Roman" w:cs="Times New Roman" w:eastAsia="Times New Roman"/>
                <w:b w:val="false"/>
                <w:sz w:val="26"/>
              </w:rPr>
              <w:t>PLIITNDN.doc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Phụ lục III- Danh mục các thông tin, tài liệu cần cung cấp tại hồ sơ toàn cầu: Tất cả người nộp thuế thuộc đối tượng áp dụng của Nghị định số 132/2020/NĐ-CP (trừ người nộp thuế thuộc đối tượng được miễn trừ nghĩa vụ theo quy định tại Điều 19 Nghị định 132/2020/NĐ-CP). Hồ sơ, tài liệu kèm theo phụ lục II và phụ lục III người nộp thuế lập và lưu tại Doanh nghiệp.</w:t>
            </w:r>
          </w:p>
        </w:tc>
        <w:tc>
          <w:p/>
          <w:p>
            <w:pPr>
              <w:spacing w:after="0" w:before="0" w:lineRule="auto" w:line="276"/>
              <w:jc w:val="left"/>
            </w:pPr>
            <w:r>
              <w:rPr>
                <w:rFonts w:ascii="Times New Roman" w:hAnsi="Times New Roman" w:cs="Times New Roman" w:eastAsia="Times New Roman"/>
                <w:b w:val="false"/>
                <w:sz w:val="26"/>
              </w:rPr>
              <w:t>PLIIITNDN.doc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Phụ lục IV: ++ Người nộp thuế thuộc đối tượng áp dụng của Nghị định số 132/2020/NĐ-CP và là công ty mẹ tối cao của tập đoàn, có doanh thu hợp nhất toàn cầu trong kỳ tính thuế từ 18.000 tỷ đồng trở lên lập Báo cáo lợi nhuận liên quốc gia tại Hồ sơ xác định giá giao dịch liên kết theo Phụ lục IV ban hành kèm theo Nghị định này. Thời hạn nộp Báo cáo cho Cơ quan thuế chậm nhất là 12 tháng sau ngày kết thúc năm tài chính của Công ty mẹ tối cao. ++ Người nộp thuế tại Việt Nam có công ty mẹ tối cao tại nước ngoài mà công ty mẹ tối cao có nghĩa vụ lập Báo cáo lợi nhuận liên quốc gia theo quy định của nước cư trú phải nộp cho Cơ quan thuế trong các trường hợp sau: +++ Quốc gia, vùng lãnh thổ nơi Công ty mẹ tối cao là đối tượng cư trú có Thỏa thuận quốc tế về thuế với Việt Nam nhưng không có Thỏa thuận của Nhà chức trách có thẩm quyền tại thời điểm đến hạn nộp Báo cáo theo quy định tại điểm a khoản này. +++ Quốc gia, vùng lãnh thổ nước ngoài nơi Công ty mẹ tối cao là đối tượng cư trú có Thoả thuận giữa Nhà chức trách có thẩm quyền với Việt Nam nhưng đã đình chỉ cơ chế trao đổi thông tin tự động hoặc không tự động cung cấp được cho Việt Nam Báo cáo lợi nhuận liên quốc gia của tập đoàn là đối tượng cư trú tại các quốc gia, vùng lãnh thổ nước ngoài đó. +++ Trường hợp tập đoàn đa quốc gia có nhiều hơn 01 người nộp thuế tại Việt Nam và Công ty mẹ tối cao tại nước ngoài có văn bản thông báo chỉ định một trong những người nộp thuế tại Việt Nam nộp Báo cáo lợi nhuận liên quốc gia thì người nộp thuế được chỉ định có nghĩa vụ nộp Báo cáo lợi nhuận liên quốc gia cho Cơ quan thuế. Người nộp thuế có nghĩa vụ nộp văn bản thông báo chỉ định của Công ty mẹ tối cao cho Cơ quan thuế trước hoặc vào ngày kết thúc năm tài chính của Công ty mẹ tối cao của người nộp thuế. ++ Người nộp thuế tại Việt Nam có công ty mẹ tối cao tại nước ngoài mà công ty mẹ tối cao có nghĩa vụ lập Báo cáo lợi nhuận liên quốc gia theo quy định của nước cư trú không phải nộp báo cáo lợi nhuận liên quốc gia cho Cơ quan thuế trong trường hợp Công ty mẹ tối cao của người nộp thuế tại Việt Nam chỉ định một tổ chức thay mặt nộp Báo cáo lợi nhuận liên quốc gia cho Cơ quan thuế nước sở tại trước hoặc vào ngày cuối cùng tháng thứ 12 sau ngày kết thúc năm tài chính của Công ty mẹ tối cao và đáp ứng các điều kiện sau: +++ Quốc gia, vùng lãnh thổ nơi tổ chức thay mặt nộp báo cáo là đối tượng cư trú có quy định yêu cầu nộp Báo cáo lợi nhuận liên quốc gia. +++ Quốc gia, vùng lãnh thổ nơi tổ chức thay mặt nộp báo cáo là đối tượng cư trú có Thoả thuận giữa Nhà chức trách có thẩm quyền với Việt Nam là một bên ký kết tại thời điểm đến hạn nộp Báo cáo theo quy định tại điểm a khoản này. +++ Quốc gia, vùng lãnh thổ nơi tổ chức thay mặt nộp báo cáo là đối tượng cư trú có Thoả thuận giữa Nhà chức trách có thẩm quyền với Việt Nam, không đình chỉ cơ chế trao đổi thông tin tự động và cung cấp được cho Việt Nam Báo cáo lợi nhuận liên quốc gia của tập đoàn là đối tượng cư trú tại quốc gia, vùng lãnh thổ nước ngoài đó. +++ Tổ chức thay mặt nộp báo cáo có văn bản thông báo được chỉ định nộp Báo cáo lợi nhuận liên quốc gia cho Cơ quan thuế nước cư trú vào trước hoặc vào ngày kết thúc năm tài chính của Công ty mẹ tối cao của tập đoàn. +++ Văn bản thông báo chỉ định tổ chức thay mặt nộp báo cáo được người nộp thuế tại Việt Nam cung cấp cho Cơ quan thuế Việt Nam theo quy định tại điểm b khoản này. +++ Người nộp thuế tại Việt Nam có văn bản thông báo cho Cơ quan thuế Việt Nam về tên, mã số thuế và nước cư trú của Công ty mẹ tối cao hoặc tổ chức thay mặt nộp báo cáo trước hoặc vào ngày cuối cùng của năm tài chính của tập đoàn. ++Trường hợp người nộp thuế có Công ty mẹ tối cao tại nước ngoài phải nộp Báo cáo lợi nhuận liên quốc gia theo quy định của nước cư trú, Cơ quan thuế thực hiện trao đổi thông tin tự động theo cam kết tại các Thoả thuận quốc tế về thuế của Việt Nam. ++Trường hợp người nộp thuế có Công ty mẹ tối cao không bắt buộc phải nộp Báo cáo lợi nhuận liên quốc gia theo quy định của nước cư trú thì thực hiện theo điều ước quốc tế về thuế.</w:t>
            </w:r>
          </w:p>
        </w:tc>
        <w:tc>
          <w:p/>
          <w:p>
            <w:pPr>
              <w:spacing w:after="0" w:before="0" w:lineRule="auto" w:line="276"/>
              <w:jc w:val="left"/>
            </w:pPr>
            <w:r>
              <w:rPr>
                <w:rFonts w:ascii="Times New Roman" w:hAnsi="Times New Roman" w:cs="Times New Roman" w:eastAsia="Times New Roman"/>
                <w:b w:val="false"/>
                <w:sz w:val="26"/>
              </w:rPr>
              <w:t>PLIVTNDN.doc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trường hợp người nộp thuế được miễn kê khai, miễn lập Hồ sơ xác định giá giao dịch liên kết quy định tại Điều 19 Nghị định số 132/2020/NĐ-CP: (1) Người nộp thuế được miễn kê khai xác định giá giao dịch liên kết tại mục III, mục IV Phụ lục I ban hành kèm theo Nghị định, miễn lập Hồ sơ xác định giá giao dịch liên kết theo quy định tại Nghị định này trong trường hợp chỉ phát sinh giao dịch với các bên liên kết là đối tượng nộp thuế thu nhập doanh nghiệp tại Việt Nam, áp dụng cùng mức thuế suất thuế thu nhập doanh nghiệp với người nộp thuế và không bên nào được hưởng ưu đãi thuế thu nhập doanh nghiệp trong kỳ tính thuế, nhưng phải kê khai căn cứ miễn trừ tại mục I, mục  II tại Phụ lục I ban hành kèm theo Nghị định này. (2) Người nộp thuế có trách nhiệm kê khai xác định giá giao dịch liên kết theo Phụ lục I ban hành kèm theo Nghị định này nhưng được miễn lập Hồ sơ xác định giá giao dịch liên kết trong các trường hợp sau: (2.1) Người nộp thuế có phát sinh giao dịch liên kết nhưng tổng doanh thu phát sinh của kỳ tính thuế dưới 50 tỷ đồng và tổng giá trị tất cả các giao dịch liên kết phát sinh trong kỳ tính thuế dưới 30 tỷ đồng; (2.2) Người nộp thuế đã ký kết Thoả thuận trước về phương pháp xác định giá tính thuế thực hiện nộp Báo cáo thường niên theo quy định pháp luật về Thoả thuận trước về phương pháp xác định giá tính thuế. Các giao dịch liên kết không thuộc phạm vi áp dụng Thoả thuận trước về phương pháp xác định giá tính thuế, người nộp thuế có trách nhiệm kê khai xác định giá giao dịch liên kết theo quy định tại Điều 18 Nghị định này; (2.3) Người nộp thuế thực hiện kinh doanh với chức năng đơn giản, không phát sinh doanh thu, chi phí từ hoạt động khai thác, sử dụng tài sản vô hình, có doanh thu dưới 200 tỷ đồng, áp dụng tỷ suất lợi nhuận thuần chưa trừ chi phí lãi vay và thuế thu nhập doanh nghiệp (không bao gồm chênh lệch doanh thu và chi phí của hoạt động tài chính) trên doanh thu thuần, bao gồm các lĩnh vực như sau: - Phân phối: Từ 5% trở lên;         - Sản xuất: Từ 10% trở lên; - Gia công: Từ 15% trở lên. Trường hợp người nộp thuế theo dõi, hạch toán riêng doanh thu, chi phí của từng lĩnh vực thì áp dụng tỷ suất lợi nhuận thuần chưa trừ chi phí lãi vay và thuế thu nhập doanh nghiệp trên doanh thu thuần tương ứng với từng lĩnh vực. Trường hợp người nộp thuế theo dõi, hạch toán riêng được doanh thu nhưng không theo dõi, hạch toán riêng được chi phí phát sinh của từng lĩnh vực trong hoạt động sản xuất, kinh doanh thì thực hiện phân bổ chi phí theo tỷ lệ doanh thu của từng lĩnh vực để áp dụng tỷ suất lợi nhuận thuần chưa trừ chi phí lãi vay và thuế thu nhập doanh nghiệp trên doanh thu thuần tương ứng với từng lĩnh vực. Trường hợp người nộp thuế không theo dõi, hạch toán riêng được doanh thu và chi phí của từng lĩnh vực hoạt động sản xuất, kinh doanh để xác định tỷ suất lợi nhuận thuần chưa trừ chi phí lãi vay và thuế thu nhập doanh nghiệp tương ứng với từng lĩnh vực thì áp dụng tỷ suất lợi nhuận thuần chưa trừ chi phí lãi vay và thuế thu nhập doanh nghiệp trên doanh thu thuần của lĩnh vực có tỷ suất cao nhất. Trường hợp người nộp thuế không áp dụng theo mức tỷ suất lợi nhuận thuần quy định tại điểm này thì phải lập Hồ sơ xác định giá giao dịch liên kết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Thuế doanh nghiệp lớn - Cục Thuế, 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tỉnh, thành phố/Thuế cơ sở/Chi cục Thuế Doanh nghiệp lớn.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giải quyết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14/2008/QH12</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132/2020/NĐ-CP</w:t>
            </w:r>
          </w:p>
        </w:tc>
        <w:tc>
          <w:p/>
          <w:p>
            <w:pPr>
              <w:spacing w:after="0" w:before="0" w:lineRule="auto" w:line="276"/>
              <w:jc w:val="left"/>
            </w:pPr>
            <w:r>
              <w:rPr>
                <w:rFonts w:ascii="Times New Roman" w:hAnsi="Times New Roman" w:cs="Times New Roman" w:eastAsia="Times New Roman"/>
                <w:b w:val="false"/>
                <w:sz w:val="26"/>
              </w:rPr>
              <w:t>Nghị định quy định về quản lý thuế đối với doanh nghiệp có giao dịch liên kết</w:t>
            </w:r>
          </w:p>
        </w:tc>
        <w:tc>
          <w:p/>
          <w:p>
            <w:pPr>
              <w:spacing w:after="0" w:before="0" w:lineRule="auto" w:line="276"/>
              <w:jc w:val="left"/>
            </w:pPr>
            <w:r>
              <w:rPr>
                <w:rFonts w:ascii="Times New Roman" w:hAnsi="Times New Roman" w:cs="Times New Roman" w:eastAsia="Times New Roman"/>
                <w:b w:val="false"/>
                <w:sz w:val="26"/>
              </w:rPr>
              <w:t>05-11-2020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20/2025/NĐ-CP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132/2020/NĐ-CP ngày 05 tháng 11 năm 2020 của Chính phủ quy định về quản lý thuế đối với doanh nghiệp có giao dịch liên kết</w:t>
            </w:r>
          </w:p>
        </w:tc>
        <w:tc>
          <w:p/>
          <w:p>
            <w:pPr>
              <w:spacing w:after="0" w:before="0" w:lineRule="auto" w:line="276"/>
              <w:jc w:val="left"/>
            </w:pPr>
            <w:r>
              <w:rPr>
                <w:rFonts w:ascii="Times New Roman" w:hAnsi="Times New Roman" w:cs="Times New Roman" w:eastAsia="Times New Roman"/>
                <w:b w:val="false"/>
                <w:sz w:val="26"/>
              </w:rPr>
              <w:t>10-02-2025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56/2024/QH15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91/2022/NĐ-CP</w:t>
            </w:r>
          </w:p>
        </w:tc>
        <w:tc>
          <w:p/>
          <w:p>
            <w:pPr>
              <w:spacing w:after="0" w:before="0" w:lineRule="auto" w:line="276"/>
              <w:jc w:val="left"/>
            </w:pPr>
            <w:r>
              <w:rPr>
                <w:rFonts w:ascii="Times New Roman" w:hAnsi="Times New Roman" w:cs="Times New Roman" w:eastAsia="Times New Roman"/>
                <w:b w:val="false"/>
                <w:sz w:val="26"/>
              </w:rPr>
              <w:t>Nghị định số 91/2022/NĐ-CP sửa đổi bổ sung một số điều của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30-10-2022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122/2025/NĐ-CP</w:t>
            </w:r>
          </w:p>
        </w:tc>
        <w:tc>
          <w:p/>
          <w:p>
            <w:pPr>
              <w:spacing w:after="0" w:before="0" w:lineRule="auto" w:line="276"/>
              <w:jc w:val="left"/>
            </w:pPr>
            <w:r>
              <w:rPr>
                <w:rFonts w:ascii="Times New Roman" w:hAnsi="Times New Roman" w:cs="Times New Roman" w:eastAsia="Times New Roman"/>
                <w:b w:val="false"/>
                <w:sz w:val="26"/>
              </w:rPr>
              <w:t>Nghị định số 122/2025/NĐ-CP của Chính phủ: Quy định về phân quyền, phân cấp trong lĩnh vực quản lý thuế</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373/2025/NĐ-CP</w:t>
            </w:r>
          </w:p>
        </w:tc>
        <w:tc>
          <w:p/>
          <w:p>
            <w:pPr>
              <w:spacing w:after="0" w:before="0" w:lineRule="auto" w:line="276"/>
              <w:jc w:val="left"/>
            </w:pPr>
            <w:r>
              <w:rPr>
                <w:rFonts w:ascii="Times New Roman" w:hAnsi="Times New Roman" w:cs="Times New Roman" w:eastAsia="Times New Roman"/>
                <w:b w:val="false"/>
                <w:sz w:val="26"/>
              </w:rPr>
              <w:t>Nghị định số 373/2025/NĐ-CP của Chính phủ: Sửa đổi, bổ sung một số điều của Nghị định số 126/2020/NĐ-CP ngày 19 tháng 10 năm 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các quy định của pháp luật về giao dịch điện tử đồng thời đăng ký và đảm bảo đầy đủ các điều kiện thực hiện giao dịch điện tử trong lĩnh vực thuế theo quy định tại Thông tư số 19/2021/TT-BTC ngày 18/3/2021 và Thông tư số 46/2024/TT-BTC ngày 09/07/2024 sửa đổi, bổ sung một số điều của Thông tư số 19/2021/TT-BTC ngày 18/3/2021 hướng dẫn giao dịch điện tử trong lĩnh vực thuế của Bộ Tài chính.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2026-05-23T16:32:04Z</dcterms:created>
  <dc:creator>Apache POI</dc:creator>
</cp:coreProperties>
</file>