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cá nhân tháng/quý của tổ chức, cá nhân trả thu nhập thực hiện khấu trừ thuế đối với thu nhập từ đầu tư vốn, từ chuyển nhượng chứng khoán, từ bản quyền, từ nhượng quyền thương mại, từ trúng thưởng của cá nhân cư trú và cá nhân không cư trú; từ kinh doanh của cá nhân không cư trú; Tổ chức, cá nhân khi nhận chuyển nhượng vốn góp của cá nhân không cư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trả thu nhập thực hiện khấu trừ thuế chuẩn bị hồ sơ khai thuế, gửi đến cơ quan Thuế. Thời hạn nộp hồ sơ khai thuế tháng chậm nhất là ngày thứ 20 của tháng tiếp theo tháng phát sinh nghĩa vụ thuế. Thời hạn nộp hồ sơ khai thuế quý chậm nhất là ngày thứ 30 của quý tiếp theo quý phát sinh nghĩa vụ thuế.
+ Bước 2. Cơ quan thuế thực hiện tiếp nhận: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thu nhập cá nhân (áp dụng đối với tổ chức, cá nhân trả thu nhập khấu trừ thuế đối với thu nhập từ đầu tư vốn, từ chuyển nhượng chứng khoán, từ bản quyền, từ nhượng quyền thương mại, từ trúng thưởng của cá nhân cư trú và cá nhân không cư trú; từ kinh doanh của cá nhân không cư trú; tổ chức, cá nhân nhận chuyển nhượng vốn của cá nhân không cư trú) mẫu số 06/TNCN theo Phụ lục I - Danh mục hồ sơ khai thuế ban hành kèm theo Nghị định số 126/2020/NĐ-CP ngày 19/10/2020 của Chính phủ và Phụ lục II - Mẫu biểu hồ sơ khai thuế ban hành kèm theo Thông tư số 80/2021/TT-BTC ngày 29/9/2021/TT-BTC của Bộ Tài chính.</w:t>
            </w:r>
          </w:p>
        </w:tc>
        <w:tc>
          <w:p/>
          <w:p>
            <w:pPr>
              <w:spacing w:after="0" w:before="0" w:lineRule="auto" w:line="276"/>
              <w:jc w:val="left"/>
            </w:pPr>
            <w:r>
              <w:rPr>
                <w:rFonts w:ascii="Times New Roman" w:hAnsi="Times New Roman" w:cs="Times New Roman" w:eastAsia="Times New Roman"/>
                <w:b w:val="false"/>
                <w:sz w:val="26"/>
              </w:rPr>
              <w:t>MS06TNCN.doc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Phụ lục bảng kê chi tiết cá nhân có thu nhập trong năm tính thuế (kê khai vào hồ sơ khai thuế của tháng/quý cuối cùng trong năm tính thuế) mẫu số 06-1/BK-TNCN theo Phụ lục I - Danh mục hồ sơ khai thuế ban hành kèm theo Nghị định số 126/2020/NĐ-CP ngày 19/10/2020 của Chính phủ và Phụ lục II - Mẫu biểu hồ sơ khai thuế ban hành kèm theo Thông tư số 80/2021/TT-BTC ngày 29/9/2021/TT-BTC của Bộ Tài chính</w:t>
            </w:r>
          </w:p>
        </w:tc>
        <w:tc>
          <w:p/>
          <w:p>
            <w:pPr>
              <w:spacing w:after="0" w:before="0" w:lineRule="auto" w:line="276"/>
              <w:jc w:val="left"/>
            </w:pPr>
            <w:r>
              <w:rPr>
                <w:rFonts w:ascii="Times New Roman" w:hAnsi="Times New Roman" w:cs="Times New Roman" w:eastAsia="Times New Roman"/>
                <w:b w:val="false"/>
                <w:sz w:val="26"/>
              </w:rPr>
              <w:t>MS06-1BK-TNCN.doc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Riêng đối với trúng thưởng xổ số điện toán thì không khai phụ lục bảng kê chi tiết cá nhân có thu nhập trong năm tính thuế mẫu số 06-1/BK-TNCN mà thực hiện khai Phụ lục bảng xác định số thuế thu nhập cá nhân phải nộp đối với thu nhập từ tiền lương, tiền công và trúng thưởng mẫu số 05-1/PBT-KK-TNCN theo Phụ lục II – Mẫu biểu hồ sơ khai thuế ban hành kèm theo Thông tư số 80/2021/TT-BTC ngày 29/9/2021/TT-BTC của Bộ Tài chính.</w:t>
            </w:r>
          </w:p>
        </w:tc>
        <w:tc>
          <w:p/>
          <w:p>
            <w:pPr>
              <w:spacing w:after="0" w:before="0" w:lineRule="auto" w:line="276"/>
              <w:jc w:val="left"/>
            </w:pPr>
            <w:r>
              <w:rPr>
                <w:rFonts w:ascii="Times New Roman" w:hAnsi="Times New Roman" w:cs="Times New Roman" w:eastAsia="Times New Roman"/>
                <w:b w:val="false"/>
                <w:sz w:val="26"/>
              </w:rPr>
              <w:t>MS05-1PBT-KK-TNCN.doc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2026-05-23T16:43:19Z</dcterms:created>
  <dc:creator>Apache POI</dc:creator>
</cp:coreProperties>
</file>