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doanh nghiệp đối với hoạt động chuyển nhượng vốn của nhà thầu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nhận chuyển nhượng vốn có trách nhiệm khai thay nhà thầu nước ngoài chuẩn bị số liệu, lập hồ sơ khai thuế theo từng lần phát sinh và gửi đến cơ quan thuế quản lý trực tiếp doanh nghiệp nơi nhà thầu nước ngoài đầu tư vốn. Trường hợp tổ chức, cá nhân nhận chuyển nhượng vốn cũng là nhà thầu nước ngoài thì tổ chức thành lập theo pháp luật Việt Nam nơi nhà thầu nước ngoài đầu tư vốn lập hồ sơ khai thuế theo từng lần phát sinh và gửi đến cơ quan thuế quản lý trực tiếp doanh nghiệp nơi nhà thầu nước ngoài đầu tư vốn. Thời hạn nộp hồ sơ khai thuế chậm nhất là ngày thứ 10 kể từ ngày phát sinh nghĩa vụ thuế.
++ Trường hợp người nộp thuế gửi hồ sơ qua giao dịch điện tử: Người nộp thuế (NNT) truy cập vào Cổng dịch vụ công Quốc gia hoặc Ứng dụng định danh quốc gia theo quy định về thực hiện cơ chế một cửa, một cửa liên thông trong giải quyết thủ tục hành chính để khai tờ khai và gửi kèm theo các hồ sơ theo quy định dưới dạng điện tử (nếu có), ký điện tử và gửi đến cơ quan thuế qua Cổng thông tin điện tử mà người nộp thuế lựa chọn.
++ Trường hợp NNT nộp hồ sơ trực tiếp hoặc gửi qua đường bưu chính: NNT lập hồ sơ giấy, ký và gửi đến cơ quan thuế qua Trung tâm Phục vụ hành chính công cấp tỉnh hoặc qua Trung tâm Phục vụ hành chính công cấp xã hoặc qua đường bưu chính.</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qua giao dịch điện tử thì việc tiếp nhận và kiểm tra, chấp nhận hồ sơ thực hiện như sau:
+++ Tiếp nhận hồ sơ: Cổng thông tin điện tử gửi thông báo cho NNT về việc tiếp nhận hồ sơ của NNT hoặc thông báo lý do không tiếp nhận hồ sơ của NNT chậm nhất 15 phút kể từ khi nhận được hồ sơ điện tử của NNT.
Cơ quan thuế thực hiện kiểm tra, giải quyết hồ sơ khai thuế của NNT theo quy định của Luật Quản lý thuế và các văn bản hướng dẫn thi hành. Cơ quan thuế kiểm tra hồ sơ và gửi thông báo cho NNT về việc chấp nhận hoặc không chấp nhận hồ sơ của NNT qua Cổng thông tin điện tử mà người nộp thuế lựa chọn chậm nhất 01 ngày làm việc kể từ ngày ghi trên thông báo tiếp nhận hồ sơ điện tử của NNT.
++ Trường hợp hồ sơ được nộp trực tiếp hoặc gửi qua đường bưu chính: cơ quan thuế thực hiện tiếp nhận, đóng dấu tiếp nhận hồ sơ của NNT (nếu hồ sơ đã đầy đủ, đúng quy định) hoặc hướng dẫn NNT hoàn thiện hồ sơ (nếu hồ sơ không đầy đủ, không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Trung tâm phục vụ hành chính công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Cổng dịch vụ công Quốc gia hoặc Ứng dụng định danh quốc gia theo quy định về thực hiện cơ chế một cửa, một cửa liên thông trong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Thành phần hồ sơ: theo Danh mục hồ sơ khai thuế tại Phụ lục I ban hành kèm theo Nghị định số 126/2020/NĐ-CP ngày 19/10/2020 của Chính phủ quy định chi tiết một số điều của Luật Quản lý thuế đã được sửa đổi, bổ sung bởi Nghị định số 373/2025/NĐ-CP và phụ lục II ban hành kèm theo Thông tư số 80/2021/TT-BTC ngày 29/9/2021 của Bộ trưởng Bộ Tài chính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 đã được sửa đổi, bổ sung bởi Thông tư số 21/2026/TT-BTC, gồm:(1)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thu nhập doanh nghiệp (áp dụng đối với thu nhập từ chuyển nhượng vốn) theo mẫu số 05/TNDN ban hành kèm theo Thông tư số 80/2021/TT-BTC;</w:t>
            </w:r>
          </w:p>
        </w:tc>
        <w:tc>
          <w:p/>
          <w:p>
            <w:pPr>
              <w:spacing w:after="0" w:before="0" w:lineRule="auto" w:line="276"/>
              <w:jc w:val="left"/>
            </w:pPr>
            <w:r>
              <w:rPr>
                <w:rFonts w:ascii="Times New Roman" w:hAnsi="Times New Roman" w:cs="Times New Roman" w:eastAsia="Times New Roman"/>
                <w:b w:val="false"/>
                <w:sz w:val="26"/>
              </w:rPr>
              <w:t>Mẫu 05.TNDN.docx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chuyển nhượng, Bản sao chứng nhận vốn góp, chứng từ gốc của các khoản chi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21/2026/TT-BTC</w:t>
            </w:r>
          </w:p>
        </w:tc>
        <w:tc>
          <w:p/>
          <w:p>
            <w:pPr>
              <w:spacing w:after="0" w:before="0" w:lineRule="auto" w:line="276"/>
              <w:jc w:val="left"/>
            </w:pPr>
            <w:r>
              <w:rPr>
                <w:rFonts w:ascii="Times New Roman" w:hAnsi="Times New Roman" w:cs="Times New Roman" w:eastAsia="Times New Roman"/>
                <w:b w:val="false"/>
                <w:sz w:val="26"/>
              </w:rPr>
              <w:t>Thông tư  số 21/2026/TT-BTC ngày 17/3/2026 của  Bộ Tài chính</w:t>
            </w:r>
          </w:p>
        </w:tc>
        <w:tc>
          <w:p/>
          <w:p>
            <w:pPr>
              <w:spacing w:after="0" w:before="0" w:lineRule="auto" w:line="276"/>
              <w:jc w:val="left"/>
            </w:pPr>
            <w:r>
              <w:rPr>
                <w:rFonts w:ascii="Times New Roman" w:hAnsi="Times New Roman" w:cs="Times New Roman" w:eastAsia="Times New Roman"/>
                <w:b w:val="false"/>
                <w:sz w:val="26"/>
              </w:rPr>
              <w:t>17-03-2026</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hướng dẫn giao dịch điện tử trong lĩnh vực thuế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2026-05-24T15:41:09Z</dcterms:created>
  <dc:creator>Apache POI</dc:creator>
</cp:coreProperties>
</file>