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1.008364.000.00.00.H56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người lao động không có giao kết hợp đồng lao động bị mất việc làm do đại dịch COVID-19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gửi hồ sơ đề nghị theo quy định đến Ủy ban nhân dân cấp xã sau ngày 15 hằng tháng. Trường hợp người lao động có nơi thường trú và tạm trú không trong phạm vi một tỉnh, thành phố trực thuộc Trung ương, nếu đề nghị hưởng hỗ trợ tại nơi thường trú thì phải có xác nhận của Ủy ban nhân dân cấp xã nơi tạm trú về việc không đề nghị hưởng chính sách và ngược lại.
- Bước 2: Trong 05 ngày làm việc, Ủy ban nhân dân cấp xã tổ chức rà soát và lập danh sách người lao động đủ điều kiện hưởng hỗ trợ với sự tham gia giám sát của đại diện các tổ chức chính trị - xã hội và công khai với cộng đồng dân cư; niêm yết công khai danh sách người lao động đề nghị hỗ trợ trong 02 ngày làm việc; tổng hợp danh sách người lao động đủ điều kiện gửi Ủy ban nhân dân cấp huyện.
- Bước 3: Trong 03 ngày làm việc, Ủy ban nhân dân cấp huyện thẩm định và phê duyệt danh sách hỗ trợ và kinh phí hỗ trợ; đồng thời chỉ đạo thực hiện chi trả hỗ trợ trong 03 ngày làm việc. Trường hợp không phê duyệt, Chủ tịch Ủy ban nhân dân cấp huyện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các cơ quan giải quyết thủ tục hành chính nhận được đầy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các cơ quan giải quyết thủ tục hành chính nhận được đầy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hỗ trợ (theo mẫu dành cho người lao động không có giao kết hợp đồng lao động bị mất việc làm).</w:t>
            </w:r>
          </w:p>
        </w:tc>
        <w:tc>
          <w:p/>
          <w:p>
            <w:pPr>
              <w:spacing w:after="0" w:before="0" w:lineRule="auto" w:line="276"/>
              <w:jc w:val="left"/>
            </w:pPr>
            <w:r>
              <w:rPr>
                <w:rFonts w:ascii="Times New Roman" w:hAnsi="Times New Roman" w:cs="Times New Roman" w:eastAsia="Times New Roman"/>
                <w:b w:val="false"/>
                <w:sz w:val="26"/>
              </w:rPr>
              <w:t>Mau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tỉnh phê duyệt Danh sách và kinh phí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15/2020/QĐ-TTg</w:t>
            </w:r>
          </w:p>
        </w:tc>
        <w:tc>
          <w:p/>
          <w:p>
            <w:pPr>
              <w:spacing w:after="0" w:before="0" w:lineRule="auto" w:line="276"/>
              <w:jc w:val="left"/>
            </w:pPr>
            <w:r>
              <w:rPr>
                <w:rFonts w:ascii="Times New Roman" w:hAnsi="Times New Roman" w:cs="Times New Roman" w:eastAsia="Times New Roman"/>
                <w:b w:val="false"/>
                <w:sz w:val="26"/>
              </w:rPr>
              <w:t>Quyết định 15/2020/QĐ-TTg</w:t>
            </w:r>
          </w:p>
        </w:tc>
        <w:tc>
          <w:p/>
          <w:p>
            <w:pPr>
              <w:spacing w:after="0" w:before="0" w:lineRule="auto" w:line="276"/>
              <w:jc w:val="left"/>
            </w:pPr>
            <w:r>
              <w:rPr>
                <w:rFonts w:ascii="Times New Roman" w:hAnsi="Times New Roman" w:cs="Times New Roman" w:eastAsia="Times New Roman"/>
                <w:b w:val="false"/>
                <w:sz w:val="26"/>
              </w:rPr>
              <w:t>24-04-2020</w:t>
            </w:r>
          </w:p>
        </w:tc>
        <w:tc>
          <w:p/>
        </w:tc>
      </w:tr>
      <w:tr>
        <w:tc>
          <w:p/>
          <w:p>
            <w:pPr>
              <w:spacing w:after="0" w:before="0" w:lineRule="auto" w:line="276"/>
              <w:jc w:val="left"/>
            </w:pPr>
            <w:r>
              <w:rPr>
                <w:rFonts w:ascii="Times New Roman" w:hAnsi="Times New Roman" w:cs="Times New Roman" w:eastAsia="Times New Roman"/>
                <w:b w:val="false"/>
                <w:sz w:val="26"/>
              </w:rPr>
              <w:t>1874/QĐ-UBND</w:t>
            </w:r>
          </w:p>
        </w:tc>
        <w:tc>
          <w:p/>
          <w:p>
            <w:pPr>
              <w:spacing w:after="0" w:before="0" w:lineRule="auto" w:line="276"/>
              <w:jc w:val="left"/>
            </w:pPr>
            <w:r>
              <w:rPr>
                <w:rFonts w:ascii="Times New Roman" w:hAnsi="Times New Roman" w:cs="Times New Roman" w:eastAsia="Times New Roman"/>
                <w:b w:val="false"/>
                <w:sz w:val="26"/>
              </w:rPr>
              <w:t>Quyết định về việc giao phê duyệt danh sách hỗ trợ và kinh phí hỗ trợ đối tượng người lao động, người sử dụng lao động và hộ kinh doanh gặp khó khăn do đại dịch Covid 19 trên địa bàn tỉnh Thanh Hóa</w:t>
            </w:r>
          </w:p>
        </w:tc>
        <w:tc>
          <w:p/>
          <w:p>
            <w:pPr>
              <w:spacing w:after="0" w:before="0" w:lineRule="auto" w:line="276"/>
              <w:jc w:val="left"/>
            </w:pPr>
            <w:r>
              <w:rPr>
                <w:rFonts w:ascii="Times New Roman" w:hAnsi="Times New Roman" w:cs="Times New Roman" w:eastAsia="Times New Roman"/>
                <w:b w:val="false"/>
                <w:sz w:val="26"/>
              </w:rPr>
              <w:t>25-05-2020</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không có giao kết hợp đồng lao động bị mất việc làm được hỗ trợ khi có đủ các điều kiện sau:
(i) Mất việc làm và có thu nhập thấp hơn mức chuẩn cận nghèo quy định tại Quyết định số 59/2015/QĐ-TTg ngày 19 tháng 11 năm 2015 của Thủ tướng Chính phủ, trong thời gian từ ngày 01 tháng 4 năm 2020 đến ngày 30 tháng 6 năm 2020;
(ii) Cư trú hợp pháp tại địa phương;
(iii) Thuộc lĩnh vực phi nông nghiệp, làm một trong những công việc sau: bán hàng rong, buôn bán nhỏ lẻ không có địa điểm cố định; thu gom rác, phế liệu; bốc vác, vận chuyển hàng hóa; lái xe mô tô 2 bánh chở khách, xe xích lô chở khách; bán lẻ xổ số lưu động; tự làm hoặc làm việc tại các hộ kinh doanh trong lĩnh vực ăn uống, lưu trú, du lịch, chăm sóc sức khỏe.
Căn cứ vào điều kiện và tình hình thực tế, Ủy ban nhân dân cấp tỉnh quyết định các đối tượng được hỗ trợ khác ngoài các đối tượng nêu trên từ nguồn ngân sách địa phương và các nguồn huy động hợp pháp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2026-05-23T22:35:03Z</dcterms:created>
  <dc:creator>Apache POI</dc:creator>
</cp:coreProperties>
</file>