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1.006871.000.00.00.H19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hợp quy sản phẩm, hàng hóa vật liệu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hồ sơ công bố hợp quy đến Sở Xây dựng tại tỉnh,
thành phố trực thuộc Trung ương nơi tổ chức, cá nhân đăng ký kinh doanh.
b) Trong thời gian 02 (hai) ngày làm việc kể từ ngày nhận được hồ sơ công bố
hợp quy, Sở Xây dựng tổ chức kiểm tra tính hợp lệ của hồ sơ công bố hợp quy.
c) Trường hợp hồ sơ công bố hợp quy hợp lệ, Sở Xây dựng ban hành Thông
báo tiếp nhận hồ sơ công bố hợp quy cho tổ chức, cá nhân theo Mẫu 3. TBTNHS,
Thông tư số 28/2012/TT-BKHCN ngày 12/12/2012 của Bộ trưởng Bộ Khoa học và
Công nghệ quy định về công bố hợp chuẩn, công bố hợp quy và phương thức đánh
giá sự phù hợp với tiêu chuẩn, quy chuẩn kỹ thuật;
d) Trường hợp hồ sơ công bố hợp quy không hợp lệ, Sở Xây dựng ban hành
Thông báo bằng văn bản cho tổ chức, cá nhân công bố hợp quy về lý do không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(Phí : (Theo hướng dẫn tại Thông tư số 183/2016/TT-BTC ngày 08/11/2016 của Bộ Tài chính Quy định mức thu, chế độ thu, nộp, quản lý lệ phí cấp giấy đăng ký công bố hợp chuẩn, hợp quy))</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(Phí : (Theo hướng dẫn tại Thông tư số 183/2016/TT-BTC ngày 08/11/2016 của Bộ Tài chính Quy định mức thu, chế độ thu, nộp, quản lý lệ phí cấp giấy đăng ký công bố hợp chuẩn, hợp quy))</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(Phí : (Theo hướng dẫn tại Thông tư số 183/2016/TT-BTC ngày 08/11/2016 của Bộ Tài chính Quy định mức thu, chế độ thu, nộp, quản lý lệ phí cấp giấy đăng ký công bố hợp chuẩn, hợp quy))</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hợp quy theo Mẫu 02. CBHC/HQ, Thông tư số 28/2012/TT-BKHCN ngày 12/12/201</w:t>
            </w:r>
          </w:p>
        </w:tc>
        <w:tc>
          <w:p/>
          <w:p>
            <w:pPr>
              <w:spacing w:after="0" w:before="0" w:lineRule="auto" w:line="276"/>
              <w:jc w:val="left"/>
            </w:pPr>
            <w:r>
              <w:rPr>
                <w:rFonts w:ascii="Times New Roman" w:hAnsi="Times New Roman" w:cs="Times New Roman" w:eastAsia="Times New Roman"/>
                <w:b w:val="false"/>
                <w:sz w:val="26"/>
              </w:rPr>
              <w:t>Ban cong bo hop chuan hop quy theo mau 02 TT 28.2012 cua Bo KHCN.docx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y bản chính Giấy chứng nhận hợp quy kèm theo mẫu dấu hợp quy do tổ chức chứng nhận hợp quy cấp cho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(Số 225 Võ Thị Sáu, P.Trấn Biên, tỉnh Đồng Nai) và trả kết quả qua đường bưu điện hoặc trực tuyến DVC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bản công bố hợp quy, báo cáo đánh giá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Thông tư 183/2016/TT-BTC</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28/2012/TT-BKHCN</w:t>
            </w:r>
          </w:p>
        </w:tc>
        <w:tc>
          <w:p/>
          <w:p>
            <w:pPr>
              <w:spacing w:after="0" w:before="0" w:lineRule="auto" w:line="276"/>
              <w:jc w:val="left"/>
            </w:pPr>
            <w:r>
              <w:rPr>
                <w:rFonts w:ascii="Times New Roman" w:hAnsi="Times New Roman" w:cs="Times New Roman" w:eastAsia="Times New Roman"/>
                <w:b w:val="false"/>
                <w:sz w:val="26"/>
              </w:rPr>
              <w:t>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12-12-2012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đăng ký công bố hợp chuẩn, hợp quy</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02/2017/TT-BKHCN</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28/2012/TT-BKHCN ngày 12 tháng 12 năm 2012 của Bộ trưởng Bộ Khoa học và Công nghệ 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10/2017/TT-BXD</w:t>
            </w:r>
          </w:p>
        </w:tc>
        <w:tc>
          <w:p/>
          <w:p>
            <w:pPr>
              <w:spacing w:after="0" w:before="0" w:lineRule="auto" w:line="276"/>
              <w:jc w:val="left"/>
            </w:pPr>
            <w:r>
              <w:rPr>
                <w:rFonts w:ascii="Times New Roman" w:hAnsi="Times New Roman" w:cs="Times New Roman" w:eastAsia="Times New Roman"/>
                <w:b w:val="false"/>
                <w:sz w:val="26"/>
              </w:rPr>
              <w:t>Thông tư 10/2017/TT-BXD</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24a/2016/NĐ-CP</w:t>
            </w:r>
          </w:p>
        </w:tc>
        <w:tc>
          <w:p/>
          <w:p>
            <w:pPr>
              <w:spacing w:after="0" w:before="0" w:lineRule="auto" w:line="276"/>
              <w:jc w:val="left"/>
            </w:pPr>
            <w:r>
              <w:rPr>
                <w:rFonts w:ascii="Times New Roman" w:hAnsi="Times New Roman" w:cs="Times New Roman" w:eastAsia="Times New Roman"/>
                <w:b w:val="false"/>
                <w:sz w:val="26"/>
              </w:rPr>
              <w:t>Về quản lý vật liệu xây dựng</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28/2012/TT-BKHCN</w:t>
            </w:r>
          </w:p>
        </w:tc>
        <w:tc>
          <w:p/>
          <w:p>
            <w:pPr>
              <w:spacing w:after="0" w:before="0" w:lineRule="auto" w:line="276"/>
              <w:jc w:val="left"/>
            </w:pPr>
            <w:r>
              <w:rPr>
                <w:rFonts w:ascii="Times New Roman" w:hAnsi="Times New Roman" w:cs="Times New Roman" w:eastAsia="Times New Roman"/>
                <w:b w:val="false"/>
                <w:sz w:val="26"/>
              </w:rPr>
              <w:t>Quy định về công bố hợp chuẩn, công bố hợp quy và phương thức đánh giá sự phù hợp với tiêu chuẩn, quy chuẩn kỹ thuật</w:t>
            </w:r>
          </w:p>
        </w:tc>
        <w:tc>
          <w:p/>
          <w:p>
            <w:pPr>
              <w:spacing w:after="0" w:before="0" w:lineRule="auto" w:line="276"/>
              <w:jc w:val="left"/>
            </w:pPr>
            <w:r>
              <w:rPr>
                <w:rFonts w:ascii="Times New Roman" w:hAnsi="Times New Roman" w:cs="Times New Roman" w:eastAsia="Times New Roman"/>
                <w:b w:val="false"/>
                <w:sz w:val="26"/>
              </w:rPr>
              <w:t>12-12-2012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Nghị định số 74/2018/NĐ-CP</w:t>
            </w:r>
          </w:p>
        </w:tc>
        <w:tc>
          <w:p/>
          <w:p>
            <w:pPr>
              <w:spacing w:after="0" w:before="0" w:lineRule="auto" w:line="276"/>
              <w:jc w:val="left"/>
            </w:pPr>
            <w:r>
              <w:rPr>
                <w:rFonts w:ascii="Times New Roman" w:hAnsi="Times New Roman" w:cs="Times New Roman" w:eastAsia="Times New Roman"/>
                <w:b w:val="false"/>
                <w:sz w:val="26"/>
              </w:rPr>
              <w:t>Điều 1 Nghị định số 74/2018/NĐ-CP ngày 15 tháng 5 năm 2018 của Chính phủ sửa đổi, bổ sung một số điều của Nghị định số 132/2008/NĐ-CP ngày 31 tháng 12 năm 2008 quy định chi tiết thi hành một số điều Luật Chất lượng sản phẩm, hàng hóa.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05/2007/QH12</w:t>
            </w:r>
          </w:p>
        </w:tc>
        <w:tc>
          <w:p/>
          <w:p>
            <w:pPr>
              <w:spacing w:after="0" w:before="0" w:lineRule="auto" w:line="276"/>
              <w:jc w:val="left"/>
            </w:pPr>
            <w:r>
              <w:rPr>
                <w:rFonts w:ascii="Times New Roman" w:hAnsi="Times New Roman" w:cs="Times New Roman" w:eastAsia="Times New Roman"/>
                <w:b w:val="false"/>
                <w:sz w:val="26"/>
              </w:rPr>
              <w:t>21-11-2007</w:t>
            </w:r>
          </w:p>
        </w:tc>
        <w:tc>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67/2009/NĐ-CP</w:t>
            </w:r>
          </w:p>
        </w:tc>
        <w:tc>
          <w:p/>
          <w:p>
            <w:pPr>
              <w:spacing w:after="0" w:before="0" w:lineRule="auto" w:line="276"/>
              <w:jc w:val="left"/>
            </w:pPr>
            <w:r>
              <w:rPr>
                <w:rFonts w:ascii="Times New Roman" w:hAnsi="Times New Roman" w:cs="Times New Roman" w:eastAsia="Times New Roman"/>
                <w:b w:val="false"/>
                <w:sz w:val="26"/>
              </w:rPr>
              <w:t>Nghị định 67/2009/NĐ-CP</w:t>
            </w:r>
          </w:p>
        </w:tc>
        <w:tc>
          <w:p/>
          <w:p>
            <w:pPr>
              <w:spacing w:after="0" w:before="0" w:lineRule="auto" w:line="276"/>
              <w:jc w:val="left"/>
            </w:pPr>
            <w:r>
              <w:rPr>
                <w:rFonts w:ascii="Times New Roman" w:hAnsi="Times New Roman" w:cs="Times New Roman" w:eastAsia="Times New Roman"/>
                <w:b w:val="false"/>
                <w:sz w:val="26"/>
              </w:rPr>
              <w:t>03-08-2009</w:t>
            </w:r>
          </w:p>
        </w:tc>
        <w:tc>
          <w:p/>
        </w:tc>
      </w:tr>
      <w:tr>
        <w:tc>
          <w:p/>
          <w:p>
            <w:pPr>
              <w:spacing w:after="0" w:before="0" w:lineRule="auto" w:line="276"/>
              <w:jc w:val="left"/>
            </w:pPr>
            <w:r>
              <w:rPr>
                <w:rFonts w:ascii="Times New Roman" w:hAnsi="Times New Roman" w:cs="Times New Roman" w:eastAsia="Times New Roman"/>
                <w:b w:val="false"/>
                <w:sz w:val="26"/>
              </w:rPr>
              <w:t>78/2018/NĐ-CP</w:t>
            </w:r>
          </w:p>
        </w:tc>
        <w:tc>
          <w:p/>
          <w:p>
            <w:pPr>
              <w:spacing w:after="0" w:before="0" w:lineRule="auto" w:line="276"/>
              <w:jc w:val="left"/>
            </w:pPr>
            <w:r>
              <w:rPr>
                <w:rFonts w:ascii="Times New Roman" w:hAnsi="Times New Roman" w:cs="Times New Roman" w:eastAsia="Times New Roman"/>
                <w:b w:val="false"/>
                <w:sz w:val="26"/>
              </w:rPr>
              <w:t>Nghị định 78/2018/NĐ-CP</w:t>
            </w:r>
          </w:p>
        </w:tc>
        <w:tc>
          <w:p/>
          <w:p>
            <w:pPr>
              <w:spacing w:after="0" w:before="0" w:lineRule="auto" w:line="276"/>
              <w:jc w:val="left"/>
            </w:pPr>
            <w:r>
              <w:rPr>
                <w:rFonts w:ascii="Times New Roman" w:hAnsi="Times New Roman" w:cs="Times New Roman" w:eastAsia="Times New Roman"/>
                <w:b w:val="false"/>
                <w:sz w:val="26"/>
              </w:rPr>
              <w:t>16-05-2018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Yêu cầu chung:
- Công bố hợp quy phải dựa trên kết quả đánh giá, chứng nhận của tổ chức
chứng nhận hợp quy;
- Trường hợp sử dụng kết quả đánh giá sự phù hợp của tổ chức đánh giá sự phù
hợp nước ngoài để chứng nhận, công bố hợp quy thì tổ chức đánh giá sự phù hợp
nước ngoài phải được thừa nhận theo quy định của pháp luật.
- Trường hợp sản phẩm, hàng hóa vật liệu xây dựng được quản lý bởi nhiều quy
chuẩn kỹ thuật khác nhau thì sản phẩm, hàng hóa đó phải được thực hiện đăng ký
công bố hợp quy tại các cơ quan chuyên ngành tương ứng và dấu hợp quy chỉ được
sử dụng khi sản phẩm, hàng hóa đó đã thực hiện đầy đủ các biện pháp quản lý theo
quy định tại các quy chuẩn kỹ thuật tương ứng.
b) Điều kiện để thực hiện:
- Hồ sơ hợp lệ theo quy định;
- Kê khai đúng chủng loại sản phẩm, hàng hóa vật liệu xây dựng phù hợp với
danh mục sản phẩm quy định tại Bảng 1 Phần 2 QCVN 16:2023/BXD. Trong
trường hợp chưa xác định rõ chủng loại sản phẩm, cần phối hợp với tổ chức chứng
nhận hợp quy để thực hiện việc định danh sản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2026-04-30T13:27:53Z</dcterms:created>
  <dc:creator>Apache POI</dc:creator>
</cp:coreProperties>
</file>