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hạn chế giao thông đường thủy nội địa trong trường hợp tổ chức hoạt động thể thao, lễ hội, diễn tập trên đường thủy nội địa quốc gia; đường thủy nội địa chuyên dùng nối với đường thủy nội địa quốc gia; đường thuỷ nội địa chuyên dùng nằm trên địa giới hai tỉnh, thành phố trực thuộc trung ương trở lên; đường thuỷ nội địa chuyên dùng nối đường thuỷ nội địa quốc gia với đường thuỷ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có nhu cầu tổ chức hoạt động thể thao, lễ hội, diễn tập trên đường thủy nội địa gửi hồ sơ đề nghị công bố hạn chế giao thông theo quy định đến Chi cục đường thủy nội địa.</w:t>
      </w:r>
    </w:p>
    <w:p>
      <w:pPr>
        <w:spacing w:after="0" w:before="0" w:lineRule="auto" w:line="276"/>
        <w:jc w:val="both"/>
      </w:pPr>
      <w:r>
        <w:rPr>
          <w:rFonts w:ascii="Times New Roman" w:hAnsi="Times New Roman" w:cs="Times New Roman" w:eastAsia="Times New Roman"/>
          <w:b w:val="false"/>
          <w:sz w:val="26"/>
        </w:rPr>
        <w:t>b) Giải quyết TTHC:
- Chi cục đường thủy nội địa xem xét, xác định biện pháp bảo đảm an toàn giao thông để có văn bản trả lời trong thời hạn 05 (năm) ngày làm việc, kể từ ngày nhận được văn bản đề nghị và thực hiện việc công bố hạn chế giao thông đường thủy nội địa. Văn bản trả lời phải nêu rõ yêu cầu về biện pháp bảo đảm an toàn giao thông.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được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là 05 (năm) ngày làm việc, kể từ ngày nhận được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bố hạn chế giao thông đường thủy nội địa. Văn bản đề nghị phải nêu rõ địa điểm, thời gian, phạm vi, quy mô tổ chức hoạt động và các văn bản pháp lý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cục Đường thủy nội địa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Đơn đề nghị hưởng chế độ một lần (bản chính, 01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2026-05-27T22:41:10Z</dcterms:created>
  <dc:creator>Apache POI</dc:creator>
</cp:coreProperties>
</file>