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2349/QĐ-NHNN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trương hoạt động quỹ tín dụng nhân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Ít nhất 10 ngày làm việc trước ngày dự kiến khai trương hoạt động, quỹ tín dụng nhân dân được cấp Giấy phép phải thông báo bằng văn bản về các điều kiện khai trương hoạt động quy định tại khoản 4 Điều 15 Thông tư số 04/2015/TT-NHNN cho Ngân hàng Nhà nước chi nhánh.
</w:t>
      </w:r>
    </w:p>
    <w:p>
      <w:pPr>
        <w:spacing w:after="0" w:before="0" w:lineRule="auto" w:line="276"/>
        <w:jc w:val="both"/>
      </w:pPr>
      <w:r>
        <w:rPr>
          <w:rFonts w:ascii="Times New Roman" w:hAnsi="Times New Roman" w:cs="Times New Roman" w:eastAsia="Times New Roman"/>
          <w:b w:val="false"/>
          <w:sz w:val="26"/>
        </w:rPr>
        <w:t>Bước 2: Ngân hàng Nhà nước chi nhánh đình chỉ việc khai trương hoạt động của quỹ tín dụng nhân dân khi không đủ các điều kiện quy định tại khoản 4 Điều 15 Thông tư số 04/2015/TT-NHNN.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xác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Chưa xác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về các điều kiện khai trương hoạt động của quỹ tín dụng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NHNN chi nhánh tỉnh, thành phố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hải quan (tờ khai vận chuyển độc lập)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04/2015/TT-NHNN</w:t>
            </w:r>
          </w:p>
        </w:tc>
        <w:tc>
          <w:p/>
          <w:p>
            <w:pPr>
              <w:spacing w:after="0" w:before="0" w:lineRule="auto" w:line="276"/>
              <w:jc w:val="left"/>
            </w:pPr>
            <w:r>
              <w:rPr>
                <w:rFonts w:ascii="Times New Roman" w:hAnsi="Times New Roman" w:cs="Times New Roman" w:eastAsia="Times New Roman"/>
                <w:b w:val="false"/>
                <w:sz w:val="26"/>
              </w:rPr>
              <w:t>Quy định về quỹ tín dụng nhân dân</w:t>
            </w:r>
          </w:p>
        </w:tc>
        <w:tc>
          <w:p/>
          <w:p>
            <w:pPr>
              <w:spacing w:after="0" w:before="0" w:lineRule="auto" w:line="276"/>
              <w:jc w:val="left"/>
            </w:pPr>
            <w:r>
              <w:rPr>
                <w:rFonts w:ascii="Times New Roman" w:hAnsi="Times New Roman" w:cs="Times New Roman" w:eastAsia="Times New Roman"/>
                <w:b w:val="false"/>
                <w:sz w:val="26"/>
              </w:rPr>
              <w:t>31-03-2015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06/2017/TT-NHNN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03/2014/TT-NHNN ngày 23/01/2014 của Thống đốc Ngân hàng Nhà nước quy định về Quỹ bảo đảm an toàn hệ thống quỹ tín dụng nhân dân và Thông tư số 04/2015/TT-NHNN ngày 31/3/2015 của Thống đốc Ngân hàng Nhà nước quy định về quỹ tín dụng nhân dân</w:t>
            </w:r>
          </w:p>
        </w:tc>
        <w:tc>
          <w:p/>
          <w:p>
            <w:pPr>
              <w:spacing w:after="0" w:before="0" w:lineRule="auto" w:line="276"/>
              <w:jc w:val="left"/>
            </w:pPr>
            <w:r>
              <w:rPr>
                <w:rFonts w:ascii="Times New Roman" w:hAnsi="Times New Roman" w:cs="Times New Roman" w:eastAsia="Times New Roman"/>
                <w:b w:val="false"/>
                <w:sz w:val="26"/>
              </w:rPr>
              <w:t>05-07-2017</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tín dụng nhân dân được cấp Giấy phép chỉ được khai trương hoạt động khi có đủ các điều kiện sau đây:
a) Có Giấy chứng nhận đăng ký kinh doanh; có đủ vốn điều lệ được gửi vào tài khoản phong tỏa không hưởng lãi tại Ngân hàng Nhà nước chi nhánh ít nhất 30 ngày trước ngày khai trương hoạt động. Vốn điều lệ được chấm dứt phong tỏa khi quỹ tín dụng nhân dân đã khai trương hoạt động;
b) Có trụ sở đủ điều kiện bảo đảm an toàn tài sản và phù hợp với yêu cầu hoạt động;
c) Đã công bố thông tin theo quy định tại khoản 3 Thông tư 04/2015/TT-NHNN;
d) Có cơ cấu tổ chức, bộ máy quản trị, điều hành, kiểm toán nội bộ, hệ thống kiểm soát nội bộ, quản lý rủi ro phù hợp với nội dung, phạm vi hoạt động;
đ) Có các quy định nội bộ theo quy định tại khoản 2 Điều 93 Luật Các tổ chức tín dụng và các quy định về tổ chức và hoạt động của Hội đồng quản trị, Ban kiểm soát quỹ tín dụng nhân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2026-05-17T11:51:17Z</dcterms:created>
  <dc:creator>Apache POI</dc:creator>
</cp:coreProperties>
</file>