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giảm mức vốn điều lệ của tổ chức tín dụng là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40 ngày kể từ ngày kết thúc Đại hội thành viên, tổ chức tín dụng là hợp tác xã lập hồ sơ theo quy định gửi Ngân hàng Nhà nước. Trường hợp hồ sơ chưa đầy đủ, trong thời hạn 03 ngày làm việc kể từ ngày nhận được hồ sơ, Ngân hàng Nhà nước có văn bản yêu cầu bổ sung hồ sơ;
- Bước 2: Trong thời hạn 21 ngày kể từ ngày nhận đủ hồ sơ hợp lệ, Ngân hàng Nhà nước có văn bản chấp thuận giảm mức vốn điều lệ của tổ chức tín dụng là hợp tác xã. Tổ chức tín dụng là hợp tác xã chỉ được thực hiện phương án giảm vốn điều lệ sau khi được Ngân hàng Nhà nước chấp thuận. Trường hợp từ chối, Ngân hàng Nhà nước trả lời bằng văn bản và nêu rõ lý do.
Trong thời hạn 30 ngày kể từ ngày có văn bản chấp thuận của Ngân hàng Nhà nước, tổ chức tín dụng là hợp tác xã phải thực hiện giảm vốn điều lệ và gửi Ngân hàng Nhà nước thông báo đã hoàn tất việc giảm vốn điều lệ. Quá thời hạn này, tổ chức tín dụng là hợp tác xã không thực hiện giảm vốn điều lệ, văn bản chấp thuận của Ngân hàng Nhà nước hết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21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21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thay đổi mức vốn điều lệ theo mẫu tại Phụ lục IV ban hành kèm theo Thông tư số 73/2025/TT-NHNN;</w:t>
            </w:r>
          </w:p>
        </w:tc>
        <w:tc>
          <w:p/>
          <w:p>
            <w:pPr>
              <w:spacing w:after="0" w:before="0" w:lineRule="auto" w:line="276"/>
              <w:jc w:val="left"/>
            </w:pPr>
            <w:r>
              <w:rPr>
                <w:rFonts w:ascii="Times New Roman" w:hAnsi="Times New Roman" w:cs="Times New Roman" w:eastAsia="Times New Roman"/>
                <w:b w:val="false"/>
                <w:sz w:val="26"/>
              </w:rPr>
              <w:t>PhlcIV.docx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Đại hội thành viên thông qua phương án thay đổi mức vốn điều lệ, trừ trường hợp thay đổi vốn điều lệ do thay đổi vốn góp của thành viên; Nghị quyết của Đại hội thành viên thông qua việc hoàn trả vốn góp cho thành viên bị khai trừ;</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hoặc quyết định của Hội đồng quản trị thông qua việc thay đổi vốn điều lệ do thay đổi vốn góp của thành viên, trừ trường hợp hoàn trả vốn cho thành viên bị khai trừ;</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thay đổi vốn góp theo mẫu tại Phụ lục số V ban hành kèm theo Thông tư số 73/2025/TT-NHNN;</w:t>
            </w:r>
          </w:p>
        </w:tc>
        <w:tc>
          <w:p/>
          <w:p>
            <w:pPr>
              <w:spacing w:after="0" w:before="0" w:lineRule="auto" w:line="276"/>
              <w:jc w:val="left"/>
            </w:pPr>
            <w:r>
              <w:rPr>
                <w:rFonts w:ascii="Times New Roman" w:hAnsi="Times New Roman" w:cs="Times New Roman" w:eastAsia="Times New Roman"/>
                <w:b w:val="false"/>
                <w:sz w:val="26"/>
              </w:rPr>
              <w:t>PhlcV.docx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giảm mức vốn điều lệ phải phù hợp với các quy định của pháp luật về vốn pháp định và có các phương án đảm bảo quy định về các tỷ lệ đảm bảo an toàn trong hoạt động của tổ chức tín dụng là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giảm mức vốn điều lệ của tổ chức tín dụng là hợp tác xã, Văn bản từ  chối  giảm mức vốn điều lệ của tổ chức tín dụng là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73/2025/TT-NHNN</w:t>
            </w:r>
          </w:p>
        </w:tc>
        <w:tc>
          <w:p/>
          <w:p>
            <w:pPr>
              <w:spacing w:after="0" w:before="0" w:lineRule="auto" w:line="276"/>
              <w:jc w:val="left"/>
            </w:pPr>
            <w:r>
              <w:rPr>
                <w:rFonts w:ascii="Times New Roman" w:hAnsi="Times New Roman" w:cs="Times New Roman" w:eastAsia="Times New Roman"/>
                <w:b w:val="false"/>
                <w:sz w:val="26"/>
              </w:rPr>
              <w:t>73/2025/TT-NHNN</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2026-05-21T16:43:13Z</dcterms:created>
  <dc:creator>Apache POI</dc:creator>
</cp:coreProperties>
</file>