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tuyển chọn, xét chọn tổ chức, cá nhân chủ trì thực hiện nhiệm vụ thuộc Chương trình phát triển thị trường khoa học và công nghệ đến năm 2020</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đủ điều kiện gửi hồ sơ đăng ký tham gia tuyển chọn, giao trực tiếp nhiệm vụ KH&amp;CN thuộc Chương trình về Cục Phát triển thị trường và doanh nghiệp khoa học và công nghệ;</w:t>
      </w:r>
    </w:p>
    <w:p>
      <w:pPr>
        <w:spacing w:after="0" w:before="0" w:lineRule="auto" w:line="276"/>
        <w:jc w:val="both"/>
      </w:pPr>
      <w:r>
        <w:rPr>
          <w:rFonts w:ascii="Times New Roman" w:hAnsi="Times New Roman" w:cs="Times New Roman" w:eastAsia="Times New Roman"/>
          <w:b w:val="false"/>
          <w:sz w:val="26"/>
        </w:rPr>
        <w:t>- Cục Phát triển thị trường và doanh nghiệp khoa học và công nghệ tiến hành mở, kiểm tra và xác nhận tính hợp lệ của hồ sơ đăng ký tham gia tuyển chọn, giao trực tiếp thực hiện nhiệm vụ KH&amp;CN thuộc Chương trình;</w:t>
      </w:r>
    </w:p>
    <w:p>
      <w:pPr>
        <w:spacing w:after="0" w:before="0" w:lineRule="auto" w:line="276"/>
        <w:jc w:val="both"/>
      </w:pPr>
      <w:r>
        <w:rPr>
          <w:rFonts w:ascii="Times New Roman" w:hAnsi="Times New Roman" w:cs="Times New Roman" w:eastAsia="Times New Roman"/>
          <w:b w:val="false"/>
          <w:sz w:val="26"/>
        </w:rPr>
        <w:t>-  Bộ trưởng Bộ Khoa học và Công nghệ tổ chức Hội đồng tuyển chọn, xét giao trực tiếp tổ chức chủ trì và cá nhân chủ nhiệm thực hiện nhiệm vụ KH&amp;CN thuộc Chương trình đối với những hồ sơ hợp lệ và thẩm định kinh phí thực hiện nhiệm vụ.</w:t>
      </w:r>
    </w:p>
    <w:p>
      <w:pPr>
        <w:spacing w:after="0" w:before="0" w:lineRule="auto" w:line="276"/>
        <w:jc w:val="both"/>
      </w:pPr>
      <w:r>
        <w:rPr>
          <w:rFonts w:ascii="Times New Roman" w:hAnsi="Times New Roman" w:cs="Times New Roman" w:eastAsia="Times New Roman"/>
          <w:b w:val="false"/>
          <w:sz w:val="26"/>
        </w:rPr>
        <w:t>- Trên cơ sở kết luận của hội đồng, tổ thẩm định và kết quả rà soát, đề nghị của các đơn vị chức năng hoặc ý kiến của chuyên gia tư vấn độc lập, Bộ trưởng Bộ Khoa học và Công nghệ ký quyết định phê duyệt tổ chức chủ trì, cá nhân chủ nhiệm và kinh phí, phương thức, thời gian thực hiện nhiệm vụ KH&amp;CN.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Trong thời hạn 10 ngày làm việc, Cục Phát triển thị trường và doanh nghiệp khoa học và công nghệ phối hợp với Vụ Kế hoạch – Tổng hợp tiến hành mở, kiểm tra và xác nhận tính hợp lệ của hồ sơ.
- Trên cơ sở kết luận của hội đồng, của tổ thẩm định và kết quả rà soát, đề nghị của các đơn vị chức năng hoặc ý kiến của chuyên gia tư vấn độc lập, trong thời hạn 10 ngày làm việc, thư ký hành chính có trách nhiệm tổng hợp hồ sơ và kết quả trình Bộ trưởng Bộ Khoa học và Công nghệ ký quyết định phê duyệt tổ chức chủ trì, cá nhân chủ nhiệm và kinh phí, phương thức, thời gian thực hiện nhiệm vụ khoa học và công nghệ.
- Trong thời hạn 10 ngày làm việc kể từ khi ký quyết định phê duyệt, Bộ Khoa học và Công nghệ thông báo công khai kết quả tuyển chọn, giao trực tiếp trên cổng thông tin điện tử.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Trong thời hạn 10 ngày làm việc, Cục Phát triển thị trường và doanh nghiệp khoa học và công nghệ phối hợp với Vụ Kế hoạch – Tổng hợp tiến hành mở, kiểm tra và xác nhận tính hợp lệ của hồ sơ.
- Trên cơ sở kết luận của hội đồng, của tổ thẩm định và kết quả rà soát, đề nghị của các đơn vị chức năng hoặc ý kiến của chuyên gia tư vấn độc lập, trong thời hạn 10 ngày làm việc, thư ký hành chính có trách nhiệm tổng hợp hồ sơ và kết quả trình Bộ trưởng Bộ Khoa học và Công nghệ ký quyết định phê duyệt tổ chức chủ trì, cá nhân chủ nhiệm và kinh phí, phương thức, thời gian thực hiện nhiệm vụ khoa học và công nghệ.
- Trong thời hạn 10 ngày làm việc kể từ khi ký quyết định phê duyệt, Bộ Khoa học và Công nghệ thông báo công khai kết quả tuyển chọn, giao trực tiếp trên cổng thông tin điện tử.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chủ trì thực hiện nhiệm vụ khoa học và công nghệ;</w:t>
            </w:r>
          </w:p>
        </w:tc>
        <w:tc>
          <w:p/>
          <w:p>
            <w:pPr>
              <w:spacing w:after="0" w:before="0" w:lineRule="auto" w:line="276"/>
              <w:jc w:val="left"/>
            </w:pPr>
            <w:r>
              <w:rPr>
                <w:rFonts w:ascii="Times New Roman" w:hAnsi="Times New Roman" w:cs="Times New Roman" w:eastAsia="Times New Roman"/>
                <w:b w:val="false"/>
                <w:sz w:val="26"/>
              </w:rPr>
              <w:t>B1-1-ĐON.doc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Tóm tắt hoạt động khoa học và công nghệ của tổ chức đăng ký chủ trì nhiệm vụ khoa học và công nghệ và kèm theo kết quả đánh giá hoạt động hàng năm của tổ chức khoa học và công nghệ đó (nếu có);</w:t>
            </w:r>
          </w:p>
        </w:tc>
        <w:tc>
          <w:p/>
          <w:p>
            <w:pPr>
              <w:spacing w:after="0" w:before="0" w:lineRule="auto" w:line="276"/>
              <w:jc w:val="left"/>
            </w:pPr>
            <w:r>
              <w:rPr>
                <w:rFonts w:ascii="Times New Roman" w:hAnsi="Times New Roman" w:cs="Times New Roman" w:eastAsia="Times New Roman"/>
                <w:b w:val="false"/>
                <w:sz w:val="26"/>
              </w:rPr>
              <w:t>11. B1-3-LLTC.doc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Lý lịch khoa học của cá nhân đăng ký chủ nhiệm và các cá nhân đăng ký thực hiện chính nhiệm vụ khoa học và công nghệ có xác nhận của cơ quan quản lý nhân sự;</w:t>
            </w:r>
          </w:p>
        </w:tc>
        <w:tc>
          <w:p/>
          <w:p>
            <w:pPr>
              <w:spacing w:after="0" w:before="0" w:lineRule="auto" w:line="276"/>
              <w:jc w:val="left"/>
            </w:pPr>
            <w:r>
              <w:rPr>
                <w:rFonts w:ascii="Times New Roman" w:hAnsi="Times New Roman" w:cs="Times New Roman" w:eastAsia="Times New Roman"/>
                <w:b w:val="false"/>
                <w:sz w:val="26"/>
              </w:rPr>
              <w:t>B1-4-LLCN.doc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về sự đồng ý của các tổ chức đăng ký phối hợp thực hiện nhiệm vụ khoa học và công nghệ (nếu có);</w:t>
            </w:r>
          </w:p>
        </w:tc>
        <w:tc>
          <w:p/>
          <w:p>
            <w:pPr>
              <w:spacing w:after="0" w:before="0" w:lineRule="auto" w:line="276"/>
              <w:jc w:val="left"/>
            </w:pPr>
            <w:r>
              <w:rPr>
                <w:rFonts w:ascii="Times New Roman" w:hAnsi="Times New Roman" w:cs="Times New Roman" w:eastAsia="Times New Roman"/>
                <w:b w:val="false"/>
                <w:sz w:val="26"/>
              </w:rPr>
              <w:t>13. B1-5-PHNC.doc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dự án thành lập, phát triển hoạt động của tổ chức trung gian</w:t>
            </w:r>
          </w:p>
        </w:tc>
        <w:tc>
          <w:p/>
          <w:p>
            <w:pPr>
              <w:spacing w:after="0" w:before="0" w:lineRule="auto" w:line="276"/>
              <w:jc w:val="left"/>
            </w:pPr>
            <w:r>
              <w:rPr>
                <w:rFonts w:ascii="Times New Roman" w:hAnsi="Times New Roman" w:cs="Times New Roman" w:eastAsia="Times New Roman"/>
                <w:b w:val="false"/>
                <w:sz w:val="26"/>
              </w:rPr>
              <w:t>05. B1-1-TMDATG.docx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dự án tổ chức các khóa đào tạo, bồi dưỡng đội ngũ cán bộ, chuyên gia phục vụ phát triển thị trường khoa học và công nghệ</w:t>
            </w:r>
          </w:p>
        </w:tc>
        <w:tc>
          <w:p/>
          <w:p>
            <w:pPr>
              <w:spacing w:after="0" w:before="0" w:lineRule="auto" w:line="276"/>
              <w:jc w:val="left"/>
            </w:pPr>
            <w:r>
              <w:rPr>
                <w:rFonts w:ascii="Times New Roman" w:hAnsi="Times New Roman" w:cs="Times New Roman" w:eastAsia="Times New Roman"/>
                <w:b w:val="false"/>
                <w:sz w:val="26"/>
              </w:rPr>
              <w:t>06. B2-1-TMDAĐT.docx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dự án đánh giá nhu cầu công nghệ, khả năng cung ứng công nghệ</w:t>
            </w:r>
          </w:p>
        </w:tc>
        <w:tc>
          <w:p/>
          <w:p>
            <w:pPr>
              <w:spacing w:after="0" w:before="0" w:lineRule="auto" w:line="276"/>
              <w:jc w:val="left"/>
            </w:pPr>
            <w:r>
              <w:rPr>
                <w:rFonts w:ascii="Times New Roman" w:hAnsi="Times New Roman" w:cs="Times New Roman" w:eastAsia="Times New Roman"/>
                <w:b w:val="false"/>
                <w:sz w:val="26"/>
              </w:rPr>
              <w:t>07. B3-1-TMDAĐG.docx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dự án hỗ trợ thương mại hóa kết quả nghiên cứu khoa học và phát triển công nghệ, tài sản trí tuệ</w:t>
            </w:r>
          </w:p>
        </w:tc>
        <w:tc>
          <w:p/>
          <w:p>
            <w:pPr>
              <w:spacing w:after="0" w:before="0" w:lineRule="auto" w:line="276"/>
              <w:jc w:val="left"/>
            </w:pPr>
            <w:r>
              <w:rPr>
                <w:rFonts w:ascii="Times New Roman" w:hAnsi="Times New Roman" w:cs="Times New Roman" w:eastAsia="Times New Roman"/>
                <w:b w:val="false"/>
                <w:sz w:val="26"/>
              </w:rPr>
              <w:t>08. B4-1-TMDATMH.docx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dự án xúc tiến phát triển thị trường khoa học và công nghệ</w:t>
            </w:r>
          </w:p>
        </w:tc>
        <w:tc>
          <w:p/>
          <w:p>
            <w:pPr>
              <w:spacing w:after="0" w:before="0" w:lineRule="auto" w:line="276"/>
              <w:jc w:val="left"/>
            </w:pPr>
            <w:r>
              <w:rPr>
                <w:rFonts w:ascii="Times New Roman" w:hAnsi="Times New Roman" w:cs="Times New Roman" w:eastAsia="Times New Roman"/>
                <w:b w:val="false"/>
                <w:sz w:val="26"/>
              </w:rPr>
              <w:t>09. B5-1-TMDAXT.docx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dự án truyền thông phát triển thị trường khoa học và công nghệ</w:t>
            </w:r>
          </w:p>
        </w:tc>
        <w:tc>
          <w:p/>
          <w:p>
            <w:pPr>
              <w:spacing w:after="0" w:before="0" w:lineRule="auto" w:line="276"/>
              <w:jc w:val="left"/>
            </w:pPr>
            <w:r>
              <w:rPr>
                <w:rFonts w:ascii="Times New Roman" w:hAnsi="Times New Roman" w:cs="Times New Roman" w:eastAsia="Times New Roman"/>
                <w:b w:val="false"/>
                <w:sz w:val="26"/>
              </w:rPr>
              <w:t>10. B6-1-TMDATT.docx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đề án khoa học</w:t>
            </w:r>
          </w:p>
        </w:tc>
        <w:tc>
          <w:p/>
          <w:p>
            <w:pPr>
              <w:spacing w:after="0" w:before="0" w:lineRule="auto" w:line="276"/>
              <w:jc w:val="left"/>
            </w:pPr>
            <w:r>
              <w:rPr>
                <w:rFonts w:ascii="Times New Roman" w:hAnsi="Times New Roman" w:cs="Times New Roman" w:eastAsia="Times New Roman"/>
                <w:b w:val="false"/>
                <w:sz w:val="26"/>
              </w:rPr>
              <w:t>B1-2d-TMĐA.doc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đề tài nghiên cứu khoa học xã hội và nhân văn</w:t>
            </w:r>
          </w:p>
        </w:tc>
        <w:tc>
          <w:p/>
          <w:p>
            <w:pPr>
              <w:spacing w:after="0" w:before="0" w:lineRule="auto" w:line="276"/>
              <w:jc w:val="left"/>
            </w:pPr>
            <w:r>
              <w:rPr>
                <w:rFonts w:ascii="Times New Roman" w:hAnsi="Times New Roman" w:cs="Times New Roman" w:eastAsia="Times New Roman"/>
                <w:b w:val="false"/>
                <w:sz w:val="26"/>
              </w:rPr>
              <w:t>B1-2b-TMĐTXH.doc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hoạt động khoa học và công nghệ của tổ chức đăng ký chủ trì nhiệm vụ khoa học và công nghệ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Sơ yếu lý lịch khoa học của chuyên gia nước ngoài kèm theo giấy xác nhận về mức lương chuyên gia (trường hợp thuê chuyên gia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về sự đồng ý của các tổ chức đăng ký phối hợp thực hiện nhiệm vụ khoa học và công nghệ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về sự đồng ý của các tổ chức đăng ký phối hợp thực hiện nhiệm vụ khoa học và công nghệ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năng lực về nhân lực khoa học và công nghệ, trang thiết bị của đơn vị phối hợp và khả năng huy động vốn từ nguồn khác để thực hiện (trường hợp có đơn vị phối hợp, huy động vốn từ nguồn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nhiệm vụ khoa học và công nghệ theo quy định pháp luật phải có vốn đối ứng: Văn bản pháp lý cam kết và giải trình khả năng huy động vốn từ các nguồn ngoài ngân sách nhà nước (báo cáo tài chính của tổ chức đăng ký chủ trì nhiệm vụ khoa học và công nghệ trong 02 năm gần nhất tính từ thời điểm nộp hồ sơ đăng ký thực hiện nhiệm vụ; cam kết cho vay vốn hoặc bảo lãnh vay vốn của các tổ chức tín dụng; cam kết pháp lý và giấy tờ xác nhận về việc đóng góp vốn của tổ chức chủ trì và các tổ chức tham gia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Lưu ý: Hồ sơ đăng ký được đóng gói trong túi hồ sơ có niêm phong và bên ngoài ghi rõ:  + Tên nhiệm vụ đăng ký tham gia tuyển chọn, xét chọn (tên, mã số của chương trình – nếu có).  + Tên, địa chỉ của tổ chức đăng ký chủ trì và tổ chức phối hợp thực hiện.  + Họ tên của cá nhân đăng ký chủ trì thực hiện (làm chủ nhiệm) nhiệm vụ.  + Danh mục tài liệu có trong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Khởi nghiệp và Doanh nghiệp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tổ chức chủ trì, cá nhân chủ nhiệm và kinh phí, phương thức, thời gian thực hiện nhiệm vụ khoa học và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08/2014/NĐ-CP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khoa học và công nghệ</w:t>
            </w:r>
          </w:p>
        </w:tc>
        <w:tc>
          <w:p/>
          <w:p>
            <w:pPr>
              <w:spacing w:after="0" w:before="0" w:lineRule="auto" w:line="276"/>
              <w:jc w:val="left"/>
            </w:pPr>
            <w:r>
              <w:rPr>
                <w:rFonts w:ascii="Times New Roman" w:hAnsi="Times New Roman" w:cs="Times New Roman" w:eastAsia="Times New Roman"/>
                <w:b w:val="false"/>
                <w:sz w:val="26"/>
              </w:rPr>
              <w:t>27-01-2014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10/2014/TT-BKHCN</w:t>
            </w:r>
          </w:p>
        </w:tc>
        <w:tc>
          <w:p/>
          <w:p>
            <w:pPr>
              <w:spacing w:after="0" w:before="0" w:lineRule="auto" w:line="276"/>
              <w:jc w:val="left"/>
            </w:pPr>
            <w:r>
              <w:rPr>
                <w:rFonts w:ascii="Times New Roman" w:hAnsi="Times New Roman" w:cs="Times New Roman" w:eastAsia="Times New Roman"/>
                <w:b w:val="false"/>
                <w:sz w:val="26"/>
              </w:rPr>
              <w:t>Thông tư 10/2014/TT-BKHCN</w:t>
            </w:r>
          </w:p>
        </w:tc>
        <w:tc>
          <w:p/>
          <w:p>
            <w:pPr>
              <w:spacing w:after="0" w:before="0" w:lineRule="auto" w:line="276"/>
              <w:jc w:val="left"/>
            </w:pPr>
            <w:r>
              <w:rPr>
                <w:rFonts w:ascii="Times New Roman" w:hAnsi="Times New Roman" w:cs="Times New Roman" w:eastAsia="Times New Roman"/>
                <w:b w:val="false"/>
                <w:sz w:val="26"/>
              </w:rPr>
              <w:t>30-05-2014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23/2014/TT-BKHCN</w:t>
            </w:r>
          </w:p>
        </w:tc>
        <w:tc>
          <w:p/>
          <w:p>
            <w:pPr>
              <w:spacing w:after="0" w:before="0" w:lineRule="auto" w:line="276"/>
              <w:jc w:val="left"/>
            </w:pPr>
            <w:r>
              <w:rPr>
                <w:rFonts w:ascii="Times New Roman" w:hAnsi="Times New Roman" w:cs="Times New Roman" w:eastAsia="Times New Roman"/>
                <w:b w:val="false"/>
                <w:sz w:val="26"/>
              </w:rPr>
              <w:t>Thông tư 23/2014/TT-BKHCN-Về việc sửa đổi, bổ sung một số điều Thông tư số 10/2014/TT-BKHCN ngày 30 tháng 5 năm 2014 của Bộ trưởng Bộ Khoa học và Công nghệ quy định tuyển chọn, giao trực tiếp tổ chức và cá nhân thực hiện nhiệm vụ khoa học và công nghệ cấp quốc gia sử dụng ngân sách nhà nước</w:t>
            </w:r>
          </w:p>
        </w:tc>
        <w:tc>
          <w:p/>
          <w:p>
            <w:pPr>
              <w:spacing w:after="0" w:before="0" w:lineRule="auto" w:line="276"/>
              <w:jc w:val="left"/>
            </w:pPr>
            <w:r>
              <w:rPr>
                <w:rFonts w:ascii="Times New Roman" w:hAnsi="Times New Roman" w:cs="Times New Roman" w:eastAsia="Times New Roman"/>
                <w:b w:val="false"/>
                <w:sz w:val="26"/>
              </w:rPr>
              <w:t>19-09-2014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32/2014/TT-BKHCN</w:t>
            </w:r>
          </w:p>
        </w:tc>
        <w:tc>
          <w:p/>
          <w:p>
            <w:pPr>
              <w:spacing w:after="0" w:before="0" w:lineRule="auto" w:line="276"/>
              <w:jc w:val="left"/>
            </w:pPr>
            <w:r>
              <w:rPr>
                <w:rFonts w:ascii="Times New Roman" w:hAnsi="Times New Roman" w:cs="Times New Roman" w:eastAsia="Times New Roman"/>
                <w:b w:val="false"/>
                <w:sz w:val="26"/>
              </w:rPr>
              <w:t>Thông tư 32/2014/TT-BKHCN-Quy định quản lý Chương trình phát triển thị trường khoa học và công nghệ đến năm 2020</w:t>
            </w:r>
          </w:p>
        </w:tc>
        <w:tc>
          <w:p/>
          <w:p>
            <w:pPr>
              <w:spacing w:after="0" w:before="0" w:lineRule="auto" w:line="276"/>
              <w:jc w:val="left"/>
            </w:pPr>
            <w:r>
              <w:rPr>
                <w:rFonts w:ascii="Times New Roman" w:hAnsi="Times New Roman" w:cs="Times New Roman" w:eastAsia="Times New Roman"/>
                <w:b w:val="false"/>
                <w:sz w:val="26"/>
              </w:rPr>
              <w:t>06-11-2014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08/2016/TT-BKHCN</w:t>
            </w:r>
          </w:p>
        </w:tc>
        <w:tc>
          <w:p/>
          <w:p>
            <w:pPr>
              <w:spacing w:after="0" w:before="0" w:lineRule="auto" w:line="276"/>
              <w:jc w:val="left"/>
            </w:pPr>
            <w:r>
              <w:rPr>
                <w:rFonts w:ascii="Times New Roman" w:hAnsi="Times New Roman" w:cs="Times New Roman" w:eastAsia="Times New Roman"/>
                <w:b w:val="false"/>
                <w:sz w:val="26"/>
              </w:rPr>
              <w:t>Thông tư 08/2016/TT-BKHCN- Sửa đổi, bổ sung một số điều của Thông tư số 32/2014/TT-BKHCN ngày 06 tháng 11 năm 2014 của Bộ trưởng Bộ Khoa học và Công nghệ quy định quản lý Chương trình phát triển thị trường khoa học và công nghệ đến năm 2020</w:t>
            </w:r>
          </w:p>
        </w:tc>
        <w:tc>
          <w:p/>
          <w:p>
            <w:pPr>
              <w:spacing w:after="0" w:before="0" w:lineRule="auto" w:line="276"/>
              <w:jc w:val="left"/>
            </w:pPr>
            <w:r>
              <w:rPr>
                <w:rFonts w:ascii="Times New Roman" w:hAnsi="Times New Roman" w:cs="Times New Roman" w:eastAsia="Times New Roman"/>
                <w:b w:val="false"/>
                <w:sz w:val="26"/>
              </w:rPr>
              <w:t>24-04-2016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Các tổ chức có đăng ký hoạt động khoa học và công nghệ hoặc có chức năng hoạt động phù hợp với lĩnh vực chuyên môn của nhiệm vụ khoa học và công nghệ có quyền tham gia đăng ký tuyển chọn hoặc được giao trực tiếp chủ trì thực hiện, trừ một trong các trường hợp sau đây:
a) Đến thời điểm nộp hồ sơ chưa hoàn trả đầy đủ kinh phí thu hồi theo hợp đồng thực hiện các dự án trước đây;
b) Nộp hồ sơ đánh giá nghiệm thu các nhiệm vụ khoa học và công nghệ cấp quốc gia khác chậm so với thời hạn kết thúc hợp đồng nghiên cứu trên 30 ngày mà không có ý kiến chấp thuận của Bộ trưởng Bộ chủ trì nhiệm vụ sẽ không được tham gia tuyển chọn, xét giao trực tiếp trong thời hạn một (01) năm kể từ ngày kết thúc hợp đồng. 
c) Tổ chức chủ trì nhiệm vụ khoa học và công nghệ có sai phạm dẫn đến bị đình chỉ thực hiện nhiệm vụ hoặc sau khi kết thúc mà không triển khai ứng dụng kết quả nghiên cứu khoa học và phát triển công nghệ vào sản xuất, đời sống theo hợp đồng nghiên cứu khoa học và phát triển công nghệ và yêu cầu của bên đặt hàng, không được đăng ký tham gia đăng ký tuyển chọn, giao trực tiếp trong thời gian ba (03) năm, tính từ thời điểm có kết luận của cơ quan có thẩm quyền.
d) Không thực hiện nghĩa vụ đăng ký, nộp lưu giữ các kết quả thực hiện nhiệm vụ khoa học và công nghệ sử dụng ngân sách nhà nước; không báo cáo ứng dụng kết quả của nhiệm vụ theo quy định sẽ không được đăng ký tuyển chọn, giao trực tiếp trong thời gian hai (02) năm.
2. Đối với cá nhân đăng ký làm chủ nhiệm nhiệm vụ khoa học và công nghệ phải đáp ứng đồng thời các yêu cầu: 
a) Có trình độ đại học trở lên;
b) Có chuyên môn hoặc vị trí công tác phù hợp và đang hoạt động trong cùng lĩnh vực khoa học với nhiệm vụ trong năm (05) năm gần đây, tính đến thời điểm nộp hồ sơ;
c) Là người chủ trì hoặc tham gia chính xây dựng thuyết minh nhiệm vụ khoa học và công nghệ;
d) Có đủ khả năng trực tiếp tổ chức thực hiện và bảo đảm đủ thời gian để chủ trì thực hiện công việc nghiên cứu của nhiệm vụ khoa học và công nghệ.
3. Cá nhân thuộc một trong các trường hợp sau đây không đủ điều kiện tham gia đăng ký tuyển chọn, xét giao trực tiếp làm chủ nhiệm nhiệm vụ khoa học và công nghệ:
a) Đến thời điểm hết hạn nộp hồ sơ vẫn đang làm chủ nhiệm nhiệm vụ khoa học và công nghệ cấp quốc gia (bao gồm: đề tài, dự án thuộc chương trình khoa học và công nghệ cấp quốc gia; đề án khoa học cấp quốc gia; đề tài, dự án sản xuất thử nghiệm cấp quốc gia; dự án khoa học và công nghệ cấp quốc gia; đề tài, dự án khoa học và công nghệ theo nghị định thư; đề tài, dự án do các Quỹ về khoa học và công nghệ quốc gia tài trợ hoặc đề tài, dự án thực hiện bằng hình thức vay vốn hoặc được bảo lãnh vay vốn từ các quỹ của nhà nước);   
b) Cá nhân chủ nhiệm nhiệm vụ khoa học và công nghệ nộp hồ sơ đánh giá nghiệm thu cấp quốc gia chậm theo quy định hiện hành từ 30 ngày đến 6 tháng mà không có ý kiến chấp thuận của Bộ trưởng Bộ chủ trì nhiệm vụ sẽ không được tham gia đăng ký tuyển chọn, giao trực tiếp trong thời gian hai (02) năm;
c) Cá nhân chủ nhiệm nhiệm vụ khoa học và công nghệ được đánh giá nghiệm thu ở mức “không đạt” mà không được Bộ chủ trì nhiệm vụ gia hạn thời gian thực hiện để hoàn chỉnh kết quả hoặc được gia hạn nhưng hết thời hạn cho phép vẫn chưa hoàn thành kết quả sẽ không được tham gia đăng ký tuyển chọn, giao trực tiếp trong thời hạn ba (03) năm kể từ thời điểm có kết luận của hội đồng đánh giá nghiệm thu cấp quốc gia;
d) Cá nhân chủ nhiệm nhiệm vụ khoa học và công nghệ các cấp có sai phạm dẫn đến bị đình chỉ thực hiện và truy cứu trách nhiệm hình sự sẽ không được tham gia đăng ký tuyển chọn, giao trực tiếp trong thời hạn năm (05) năm kể từ ngày có quyết định của cơ quan có thẩm quyền.
4. Đối với dự án hỗ trợ thương mại hóa kết quả nghiên cứu khoa học và phát triển công nghệ, tài sản trí tuệ quy định tại Khoản 1 Điều 13 của Thông tư số 08/2016/TT-BKHCN ngày 24 tháng 4 năm 2016 đáp ứng tiêu chí, điều kiện lựa chọn sau:
a) Tổ chức, cá nhân có quyền sở hữu, quyền sử dụng kết quả nghiên cứu, tài sản trí tuệ chủ động gửi đề xuất nhiệm vụ khoa học và công nghệ cho Cục Phát triển thị trường và doanh nghiệp khoa học và công nghệ;
b) Ban chủ nhiệm Chương trình phối hợp với Cục Phát triển thị trường và doanh nghiệp khoa học và công nghệ tìm kiếm, đề xuất đặt hàng của Bộ Khoa học và Công nghệ trên cơ sở các tiêu chí sau đây:
- Có tính liên vùng, liên ngành;
- Có khả năng thương mại hóa và có tính lan tỏa kết quả nghiên cứu khoa học và phát triển công nghệ, tài sản trí tuệ;
- Góp phần thúc đẩy giao dịch công nghệ trên thị trường;
- Góp phần hình thành và phát triển mạng lưới tổ chức trung gian của thị trường khoa học và công nghệ.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tuyển chọn, xét chọn tổ chức, cá nhân chủ trì thực hiện nhiệm vụ thuộc Chương trình phát triển thị trường khoa học và công nghệ đến năm 2020</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2026-05-26T22:54:05Z</dcterms:created>
  <dc:creator>Apache POI</dc:creator>
</cp:coreProperties>
</file>