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chủ trương đăng cai tổ chức hội nghị, hội thảo quốc tế thuộc thẩm quyền cho phép của Thủ tướng Chính phủ</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Hội nghị, hội thảo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cho chủ trương đăng cai tổ chức hội nghị, hội thảo quốc tế thuộc thẩm quyền cho phép của Thủ tướng Chính phủ</w:t>
      </w:r>
    </w:p>
    <w:p>
      <w:pPr>
        <w:spacing w:after="0" w:before="0" w:lineRule="auto" w:line="276"/>
        <w:jc w:val="both"/>
      </w:pPr>
      <w:r>
        <w:rPr>
          <w:rFonts w:ascii="Times New Roman" w:hAnsi="Times New Roman" w:cs="Times New Roman" w:eastAsia="Times New Roman"/>
          <w:b w:val="false"/>
          <w:sz w:val="26"/>
        </w:rPr>
        <w:t>Bước 1: Đơn vị tổ chức gửi hồ sơ xin chủ trương để đăng cai tổ chức hội nghị, hội thảo quốc tế cho cơ quan của người có thẩm quyền.</w:t>
      </w:r>
    </w:p>
    <w:p>
      <w:pPr>
        <w:spacing w:after="0" w:before="0" w:lineRule="auto" w:line="276"/>
        <w:jc w:val="both"/>
      </w:pPr>
      <w:r>
        <w:rPr>
          <w:rFonts w:ascii="Times New Roman" w:hAnsi="Times New Roman" w:cs="Times New Roman" w:eastAsia="Times New Roman"/>
          <w:b w:val="false"/>
          <w:sz w:val="26"/>
        </w:rPr>
        <w:t>Bước 2: Sau khi nhận được hồ sơ, người có thẩm quyền lấy ý kiến bằng văn bản của Bộ Ngoại giao; Bộ Công an; các cơ quan, địa phương liên quan. Cơ quan, địa phương được lấy ý kiến có trách nhiệm trả lời bằng văn bản trong thời gian không quá 15 ngày kể từ ngày nhận được văn bản đề nghị.</w:t>
      </w:r>
    </w:p>
    <w:p>
      <w:pPr>
        <w:spacing w:after="0" w:before="0" w:lineRule="auto" w:line="276"/>
        <w:jc w:val="both"/>
      </w:pPr>
      <w:r>
        <w:rPr>
          <w:rFonts w:ascii="Times New Roman" w:hAnsi="Times New Roman" w:cs="Times New Roman" w:eastAsia="Times New Roman"/>
          <w:b w:val="false"/>
          <w:sz w:val="26"/>
        </w:rPr>
        <w:t>Bước 3: Sau khi có đầy đủ ý kiến bằng văn bản của các cơ quan, địa phương liên quan, người có thẩm quyền trình Thủ tướng Chính phủ xem xét, quyết định cho phép về chủ trương đăng cai tổ chức hội nghị, hội thảo quốc tế.</w:t>
      </w:r>
    </w:p>
    <w:p>
      <w:pPr>
        <w:spacing w:after="0" w:before="0" w:lineRule="auto" w:line="276"/>
        <w:jc w:val="both"/>
      </w:pPr>
      <w:r>
        <w:rPr>
          <w:rFonts w:ascii="Times New Roman" w:hAnsi="Times New Roman" w:cs="Times New Roman" w:eastAsia="Times New Roman"/>
          <w:b w:val="false"/>
          <w:sz w:val="26"/>
        </w:rPr>
        <w:t>Bước 4: Sau khi nhận được ý kiến của Thủ tướng Chính phủ, người có thẩm quyền trả lời bằng văn bản cho đơn vị tổ chức, đồng gửi cho Bộ Ngoại giao, Bộ Công an và các cơ quan, địa phương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hoặc 40 ngày (tùy thuộc cơ quan của người có thẩm quyền nào nhận được hồ sơ, văn bản)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Đơn vị tổ chức gửi hồ sơ xin chủ trương để đăng cai tổ chức hội nghị, hội thảo quốc tế cho cơ quan của người có thẩm quyền ít nhất 40 ngày trước ngày dự kiến tổ chức.
- Cơ quan, địa phương được lấy ý kiến có trách nhiệm trả lời bằng văn bản trong thời gian không quá 15 ngày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15 hoặc 40 ngày (tùy thuộc cơ quan của người có thẩm quyền nào nhận được hồ sơ, văn bản)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Đơn vị tổ chức gửi hồ sơ xin chủ trương để đăng cai tổ chức hội nghị, hội thảo quốc tế cho cơ quan của người có thẩm quyền ít nhất 40 ngày trước ngày dự kiến tổ chức.
- Cơ quan, địa phương được lấy ý kiến có trách nhiệm trả lời bằng văn bản trong thời gian không quá 15 ngày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hoặc 40 ngày (tùy thuộc cơ quan của người có thẩm quyền nào nhận được hồ sơ, văn bản)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Đơn vị tổ chức gửi hồ sơ xin chủ trương để đăng cai tổ chức hội nghị, hội thảo quốc tế cho cơ quan của người có thẩm quyền ít nhất 40 ngày trước ngày dự kiến tổ chức.
- Cơ quan, địa phương được lấy ý kiến có trách nhiệm trả lời bằng văn bản trong thời gian không quá 15 ngày kể từ ngày nhận được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xin chủ trương để đăng cai tổ chức hội nghị, hội thảo quốc tế, trong đó nêu rõ lý do, mục đích, chủ đề, dự kiến thành phần tham dự và dự kiến nguồn kinh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 Bộ, cơ quan ngang Bộ, cơ quan thuộc Chính phủ</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đơn vị tổ chức về việc cho phép về chủ trương đăng cai tổ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06/2020/QĐ-TTg</w:t>
            </w:r>
          </w:p>
        </w:tc>
        <w:tc>
          <w:p/>
          <w:p>
            <w:pPr>
              <w:spacing w:after="0" w:before="0" w:lineRule="auto" w:line="276"/>
              <w:jc w:val="left"/>
            </w:pPr>
            <w:r>
              <w:rPr>
                <w:rFonts w:ascii="Times New Roman" w:hAnsi="Times New Roman" w:cs="Times New Roman" w:eastAsia="Times New Roman"/>
                <w:b w:val="false"/>
                <w:sz w:val="26"/>
              </w:rPr>
              <w:t>Quyết định 06/2020/QĐ-TTg</w:t>
            </w:r>
          </w:p>
        </w:tc>
        <w:tc>
          <w:p/>
          <w:p>
            <w:pPr>
              <w:spacing w:after="0" w:before="0" w:lineRule="auto" w:line="276"/>
              <w:jc w:val="left"/>
            </w:pPr>
            <w:r>
              <w:rPr>
                <w:rFonts w:ascii="Times New Roman" w:hAnsi="Times New Roman" w:cs="Times New Roman" w:eastAsia="Times New Roman"/>
                <w:b w:val="false"/>
                <w:sz w:val="26"/>
              </w:rPr>
              <w:t>21-02-2020</w:t>
            </w:r>
          </w:p>
        </w:tc>
        <w:tc>
          <w:p/>
        </w:tc>
      </w:tr>
      <w:tr>
        <w:tc>
          <w:p/>
          <w:p>
            <w:pPr>
              <w:spacing w:after="0" w:before="0" w:lineRule="auto" w:line="276"/>
              <w:jc w:val="left"/>
            </w:pPr>
            <w:r>
              <w:rPr>
                <w:rFonts w:ascii="Times New Roman" w:hAnsi="Times New Roman" w:cs="Times New Roman" w:eastAsia="Times New Roman"/>
                <w:b w:val="false"/>
                <w:sz w:val="26"/>
              </w:rPr>
              <w:t>134/2025</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đối ngoại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hội nghị, hội thảo quốc tế thuộc thẩm quyền cho phép của Thủ tướng Chính phủ được nêu tại khoản 1 Điều 3 Quyết định số 06/2020/QĐ-TTg ngày 21 tháng 02 năm 2020 của Thủ tướng Chính phủ về tổ chức và quản lý hội nghị, hội thảo quốc tế tại Việt Nam và được điều chỉnh bởi Điều 16 Nghị định số 134/2025/NĐ-CP ngày 12 tháng 6 năm 2025 của Chính phủ quy định về phân quyền, phân cấp trong lĩnh vực đối ngoại, bao gồm:
- Hội nghị, hội thảo quốc tế có thành viên tham dự là người đứng đầu hoặc quan chức cấp cao hơn Bộ trưởng của các nước, các vùng lãnh thổ, các tổ chức quốc tế.
- Hội nghị, hội thảo quốc tế có chủ đề, nội dung liên quan đến các vấn đề về chủ quyền an ninh quốc gia, an ninh, quốc phòng, dân tộc, tôn giáo, quyền con người hoặc thuộc phạm vi bí mật nhà nước theo quy định pháp luật về bảo vệ bí mật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hội nghị hội thảo quốc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2026-04-29T10:04:43Z</dcterms:created>
  <dc:creator>Apache POI</dc:creator>
</cp:coreProperties>
</file>