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64/QĐ-NHNN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và sửa đổi, bổ sung Giấy phép của ngân hàng thương mại đối với nội dung thay đổi thời hạn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Ngân hàng thương mại lập hồ sơ theo quy định gửi Ngân hàng Nhà nước (trường hợp gia hạn thời hạn hoạt động, ngân hàng thương mại phải gửi hồ sơ tối thiểu 06 tháng trước ngày Giấy phép hết thời hạn)</w:t>
      </w:r>
    </w:p>
    <w:p>
      <w:pPr>
        <w:spacing w:after="0" w:before="0" w:lineRule="auto" w:line="276"/>
        <w:jc w:val="both"/>
      </w:pPr>
      <w:r>
        <w:rPr>
          <w:rFonts w:ascii="Times New Roman" w:hAnsi="Times New Roman" w:cs="Times New Roman" w:eastAsia="Times New Roman"/>
          <w:b w:val="false"/>
          <w:sz w:val="26"/>
        </w:rPr>
        <w:t>Bước 2: Trường hợp hồ sơ chưa đầy đủ, hợp lệ, trong thời hạn 07 ngày làm việc kể từ ngày nhận được hồ sơ, Ngân hàng Nhà nước có văn bản yêu cầu ngân hàng thương mại bổ sung, hoàn thiện hồ sơ</w:t>
      </w:r>
    </w:p>
    <w:p>
      <w:pPr>
        <w:spacing w:after="0" w:before="0" w:lineRule="auto" w:line="276"/>
        <w:jc w:val="both"/>
      </w:pPr>
      <w:r>
        <w:rPr>
          <w:rFonts w:ascii="Times New Roman" w:hAnsi="Times New Roman" w:cs="Times New Roman" w:eastAsia="Times New Roman"/>
          <w:b w:val="false"/>
          <w:sz w:val="26"/>
        </w:rPr>
        <w:t>Bước 3: Trong thời hạn 25 ngày làm việc, kể từ ngày nhận đủ hồ sơ hợp lệ, Ngân hàng Nhà nước chấp thuận thay đổi thời hạn hoạt động và có quyết định sửa đổi thời hạn hoạt động của ngân hàng thương mại tại Giấy phép; trường hợp không chấp thuận, Ngân hàng Nhà nước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trong đó tối thiểu bao gồm các nội dung sau: (i) Thời hạn hoạt động hiện tại; (ii) Thời hạn hoạt động dự kiến thay đổi; (iii) Lý do thay đổi thời hạn hoạt động;  (iv) Số, ngày Nghị quyết hoặc quyết định của Đại hội đồng cổ đông đối với ngân hàng thương mại cổ phần thông qua việc thay đổi thời hạn hoạt động của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hoặc quyết định của Hội đồng thành viên đối với ngân hàng thương mại trách nhiệm hữu hạn thông qua việc thay đổi thời hạn hoạt động của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quan tình hình tổ chức và hoạt động của ngân hàng thương mại trong đó nêu rõ: (i) Đánh giá tổng kết hoạt động trong 03 năm liền kề trước năm nộp hồ sơ đề nghị, bao gồm các chỉ tiêu hoạt động chính liên quan đến cơ cấu nguồn vốn, sử dụng vốn và kết quả kinh doanh; tổ chức và hoạt động của bộ máy quản trị, điều hành, kiểm toán nội bộ và hệ thống kiểm soát nội bộ; (ii) Dự kiến kế hoạch kinh doanh cho 03 năm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thay đổi thời hạn hoạt động ngoài trường hợp gia hạn thời hạn hoạt động, ngân hàng thương mại nộp hồ sơ quy định tại điểm a, b, c khoản 1 Điều 9 Thông tư số 50/2025/TT-NHNN; tài liệu chứng minh sự cần thiết và lý do của việc thay đổi thời hạn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thời hạn hoạt động của ngân hàng thương mại tại Giấy phép, Văn bản không chấp thuận thay đổi thời hạn hoạt động của ngân hàng thương mại tại 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50/2025/TT-NHNN</w:t>
            </w:r>
          </w:p>
        </w:tc>
        <w:tc>
          <w:p/>
          <w:p>
            <w:pPr>
              <w:spacing w:after="0" w:before="0" w:lineRule="auto" w:line="276"/>
              <w:jc w:val="left"/>
            </w:pPr>
            <w:r>
              <w:rPr>
                <w:rFonts w:ascii="Times New Roman" w:hAnsi="Times New Roman" w:cs="Times New Roman" w:eastAsia="Times New Roman"/>
                <w:b w:val="false"/>
                <w:sz w:val="26"/>
              </w:rPr>
              <w:t>50/2025/TT-NHNN</w:t>
            </w:r>
          </w:p>
        </w:tc>
        <w:tc>
          <w:p/>
          <w:p>
            <w:pPr>
              <w:spacing w:after="0" w:before="0" w:lineRule="auto" w:line="276"/>
              <w:jc w:val="left"/>
            </w:pPr>
            <w:r>
              <w:rPr>
                <w:rFonts w:ascii="Times New Roman" w:hAnsi="Times New Roman" w:cs="Times New Roman" w:eastAsia="Times New Roman"/>
                <w:b w:val="false"/>
                <w:sz w:val="26"/>
              </w:rPr>
              <w:t>24-12-2025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2026-05-09T03:10:59Z</dcterms:created>
  <dc:creator>Apache POI</dc:creator>
</cp:coreProperties>
</file>