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642/QĐ-BYT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là lương y cho các đối tượng quy định tại Khoản 2, Điều 1, Thông tư số 29/2015/TT-BYT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Y Dược cổ truyền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đề nghị cấp Giấy chứng nhận là lương y gửi hồ sơ về Cục Quản lý Y, dược cổ truyền - Bộ Y tế theo quy định.</w:t>
      </w:r>
    </w:p>
    <w:p>
      <w:pPr>
        <w:spacing w:after="0" w:before="0" w:lineRule="auto" w:line="276"/>
        <w:jc w:val="both"/>
      </w:pPr>
      <w:r>
        <w:rPr>
          <w:rFonts w:ascii="Times New Roman" w:hAnsi="Times New Roman" w:cs="Times New Roman" w:eastAsia="Times New Roman"/>
          <w:b w:val="false"/>
          <w:sz w:val="26"/>
        </w:rPr>
        <w:t>Bước 2. Sau khi nhận được hồ sơ, cơ quan tiếp nhận hồ sơ gửi cho người nộp hồ sơ Phiếu tiếp nhận hồ sơ theo mẫu quy định tại Phụ lục số 04 ban hành kèm theo Thông tư số 29/2015/TT-BYT.
Trường hợp hồ sơ chưa hợp lệ thì trong thời hạn 05 ngày làm việc, kể từ ngày ghi trên Phiếu tiếp nhận hồ sơ, Cục quản lý Y, Dược cổ truyền phải có thông báo cho người đã nộp hồ sơ để yêu cầu bổ sung.</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được hồ sơ hợp lệ, Tổ thư ký của Hội đồng kiểm tra sát hạch phải tiến hành thẩm định hồ sơ để phân loại đối tượng cấp Giấy chứng nhận là lương y phải qua kiểm tra sát hạch: lập danh sách các trường hợp đủ điều kiện và danh sách các trường hợp không đủ điều kiện dự kiểm tra sát hạch để gửi đến Hội đồng kiểm tra sát hạch</w:t>
      </w:r>
    </w:p>
    <w:p>
      <w:pPr>
        <w:spacing w:after="0" w:before="0" w:lineRule="auto" w:line="276"/>
        <w:jc w:val="both"/>
      </w:pPr>
      <w:r>
        <w:rPr>
          <w:rFonts w:ascii="Times New Roman" w:hAnsi="Times New Roman" w:cs="Times New Roman" w:eastAsia="Times New Roman"/>
          <w:b w:val="false"/>
          <w:sz w:val="26"/>
        </w:rPr>
        <w:t>Bước 4.  Hội đồng kiểm tra sát hạch họp (trong 10 ngày kể từ ngày nhận được danh sách đề nghị của Tổ thư ký) để lập kế hoạch tổ chức kiểm tra sát hạch.
Trường hợp không đủ điều kiện dự kiểm tra sát hạch thì Hội đồng kiểm tra sát hạch phải có văn bản thông báo lý do cho đương sự.</w:t>
      </w:r>
    </w:p>
    <w:p>
      <w:pPr>
        <w:spacing w:after="0" w:before="0" w:lineRule="auto" w:line="276"/>
        <w:jc w:val="both"/>
      </w:pPr>
      <w:r>
        <w:rPr>
          <w:rFonts w:ascii="Times New Roman" w:hAnsi="Times New Roman" w:cs="Times New Roman" w:eastAsia="Times New Roman"/>
          <w:b w:val="false"/>
          <w:sz w:val="26"/>
        </w:rPr>
        <w:t>Bước 5: Sau khi kiểm tra sát hạch 15 ngày, Hội đồng kiểm tra sát hạch lập danh sách các trường hợp đạt kết quả kiểm tra sát hạch và gửi danh sách đến Trung ương Hội Đông y Việt Nam để xin xác nhận ý kiến đồng ý theo quy định, đồng thời thông báo kết quả kiểm tra sát hạch cho từng đối tượng. Sau khi có ý kiến đồng ý của Hội Đông y, Hội đồng kiểm tra sát hạch trình Bộ trưởng Bộ Y cấp Giấy chứng nhận là lương 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2.500.000 Đồng</w:t>
              <w:t xml:space="preserve"> (Phí thẩm định cấp Giấy chứng nhận là lương y (Theo Thông tư số 03/2013/TT-BTC ngày 08/01/2013 quy định phí thẩm định kinh doanh thương mại có điều kiện; thẩm định tiêu chuẩn, điều kiện hành nghề y, dược; lệ phí cấp giấy phép xuất, nhập khẩu trang thiết bị y tế, dược phẩm; cấp chứng chỉ hành nghề y; cấp giấy phép hoạt động đối với cơ sở khám, chữa bệnh))</w:t>
            </w:r>
          </w:p>
        </w:tc>
        <w:tc>
          <w:p/>
          <w:p>
            <w:pPr>
              <w:spacing w:after="0" w:before="0" w:lineRule="auto" w:line="276"/>
              <w:jc w:val="left"/>
            </w:pPr>
            <w:r>
              <w:rPr>
                <w:rFonts w:ascii="Times New Roman" w:hAnsi="Times New Roman" w:cs="Times New Roman" w:eastAsia="Times New Roman"/>
                <w:b w:val="false"/>
                <w:sz w:val="26"/>
              </w:rPr>
              <w:t>35 ngày kể từ ngày có kết quả kỳ kiểm tra sát hạch.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2.500.000 Đồng</w:t>
              <w:t xml:space="preserve"> (Phí thẩm định cấp Giấy chứng nhận là lương y (Theo Thông tư số 03/2013/TT-BTC ngày 08/01/2013 quy định phí thẩm định kinh doanh thương mại có điều kiện; thẩm định tiêu chuẩn, điều kiện hành nghề y, dược; lệ phí cấp giấy phép xuất, nhập khẩu trang thiết bị y tế, dược phẩm; cấp chứng chỉ hành nghề y; cấp giấy phép hoạt động đối với cơ sở khám, chữa bệnh))</w:t>
            </w:r>
          </w:p>
        </w:tc>
        <w:tc>
          <w:p/>
          <w:p>
            <w:pPr>
              <w:spacing w:after="0" w:before="0" w:lineRule="auto" w:line="276"/>
              <w:jc w:val="left"/>
            </w:pPr>
            <w:r>
              <w:rPr>
                <w:rFonts w:ascii="Times New Roman" w:hAnsi="Times New Roman" w:cs="Times New Roman" w:eastAsia="Times New Roman"/>
                <w:b w:val="false"/>
                <w:sz w:val="26"/>
              </w:rPr>
              <w:t>35 ngày kể từ ngày có kết quả kỳ kiểm tra sát hạch.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là lương y theo mẫu quy định tại Phụ lục số 01 ban hành kèm theo Thông tư số 29/2015/TT-BYT.</w:t>
            </w:r>
          </w:p>
        </w:tc>
        <w:tc>
          <w:p/>
          <w:p>
            <w:pPr>
              <w:spacing w:after="0" w:before="0" w:lineRule="auto" w:line="276"/>
              <w:jc w:val="left"/>
            </w:pPr>
            <w:r>
              <w:rPr>
                <w:rFonts w:ascii="Times New Roman" w:hAnsi="Times New Roman" w:cs="Times New Roman" w:eastAsia="Times New Roman"/>
                <w:b w:val="false"/>
                <w:sz w:val="26"/>
              </w:rPr>
              <w:t>PHỤ LỤC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màu cỡ 4 x 6 cm chụp trên nền trắng (trong thời gian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phong bì có dán tem và ghi rõ họ tên, địa chỉ người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nhận là lương y chuyên sâu cùng bảng điểm do Trung ương Hội Đông y Việt Nam cấp theo quy định tại Khoản 2 Điều 1 Thông tư số 29/2015/TT-BYT;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quá trình thực tập khám bệnh, chữa bệnh bằng y học cổ truyền theo mẫu quy định tại Phụ lục số 02 ban hành kèm theo Thông tư số 29/2015/TT-BYT;</w:t>
            </w:r>
          </w:p>
        </w:tc>
        <w:tc>
          <w:p/>
          <w:p>
            <w:pPr>
              <w:spacing w:after="0" w:before="0" w:lineRule="auto" w:line="276"/>
              <w:jc w:val="left"/>
            </w:pPr>
            <w:r>
              <w:rPr>
                <w:rFonts w:ascii="Times New Roman" w:hAnsi="Times New Roman" w:cs="Times New Roman" w:eastAsia="Times New Roman"/>
                <w:b w:val="false"/>
                <w:sz w:val="26"/>
              </w:rPr>
              <w:t>PHỤ LỤC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văn bằng về trình độ học vấn.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Y, Dược cổ truyền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là lương 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29/2015/TT-BYT</w:t>
            </w:r>
          </w:p>
        </w:tc>
        <w:tc>
          <w:p/>
          <w:p>
            <w:pPr>
              <w:spacing w:after="0" w:before="0" w:lineRule="auto" w:line="276"/>
              <w:jc w:val="left"/>
            </w:pPr>
            <w:r>
              <w:rPr>
                <w:rFonts w:ascii="Times New Roman" w:hAnsi="Times New Roman" w:cs="Times New Roman" w:eastAsia="Times New Roman"/>
                <w:b w:val="false"/>
                <w:sz w:val="26"/>
              </w:rPr>
              <w:t>Thông tư 29/2015/TT-BYT - Quy định cấp, cấp lại giấy chứng nhận là lương y</w:t>
            </w:r>
          </w:p>
        </w:tc>
        <w:tc>
          <w:p/>
          <w:p>
            <w:pPr>
              <w:spacing w:after="0" w:before="0" w:lineRule="auto" w:line="276"/>
              <w:jc w:val="left"/>
            </w:pPr>
            <w:r>
              <w:rPr>
                <w:rFonts w:ascii="Times New Roman" w:hAnsi="Times New Roman" w:cs="Times New Roman" w:eastAsia="Times New Roman"/>
                <w:b w:val="false"/>
                <w:sz w:val="26"/>
              </w:rPr>
              <w:t>12-10-2015</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 xml:space="preserve">Thông tư số 03/2013/TT-BTC </w:t>
            </w:r>
          </w:p>
        </w:tc>
        <w:tc>
          <w:p/>
          <w:p>
            <w:pPr>
              <w:spacing w:after="0" w:before="0" w:lineRule="auto" w:line="276"/>
              <w:jc w:val="left"/>
            </w:pPr>
            <w:r>
              <w:rPr>
                <w:rFonts w:ascii="Times New Roman" w:hAnsi="Times New Roman" w:cs="Times New Roman" w:eastAsia="Times New Roman"/>
                <w:b w:val="false"/>
                <w:sz w:val="26"/>
              </w:rPr>
              <w:t>Quy định phí thẩm định kinh doanh thương mại có điều kiện; thẩm định tiêu chuẩn, điều kiện hành nghề y, dược; lệ phí cấp giấy phép xuất, nhập khẩu trang thiết bị, được phẩm; cấp chứng chỉ hành nghề y; cấp giấy phép hoạt động đối với cơ sở khám, chữa bệnh</w:t>
            </w:r>
          </w:p>
        </w:tc>
        <w:tc>
          <w:p/>
          <w:p>
            <w:pPr>
              <w:spacing w:after="0" w:before="0" w:lineRule="auto" w:line="276"/>
              <w:jc w:val="left"/>
            </w:pPr>
            <w:r>
              <w:rPr>
                <w:rFonts w:ascii="Times New Roman" w:hAnsi="Times New Roman" w:cs="Times New Roman" w:eastAsia="Times New Roman"/>
                <w:b w:val="false"/>
                <w:sz w:val="26"/>
              </w:rPr>
              <w:t>08-01-2013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3. Điều kiện cấp Giấy chứng nhận là lương y đối với đối tượng quy định tại Khoản 2 Điều 1 Thông tư số 29/2015/TT-BYT
1. Về hiểu biết lý luận y dược học cổ truyền: Có bảng điểm và Giấy chứng nhận là lương y chuyên sâu do Trung ương Hội Đông y Việt Nam cấp trước ngày 30 tháng 6 năm 2004.
2. Về kinh nghiệm khám bệnh, chữa bệnh bằng phương pháp y học cổ truyền: Có thời gian thực tập khám bệnh, chữa bệnh bằng y học cổ truyền từ đủ 36 tháng trở lên tại các cơ sở khám bệnh, chữa bệnh bằng y học cổ truyền hợp pháp sau khi có Giấy chứng nhận là lương y chuyên sâu, được người đứng đầu cơ sở đó xác nhận bằng văn bản.
3. Về xác nhận ý kiến đồng ý của Hội Đông y: Được Trung ương Hội Đông y Việt Nam xác nhận bằng văn bản về phạm vi hoạt động chuyên môn và đạo đức nghề nghiệp để hành nghề khám bệnh, chữa bệnh bằng y học cổ truyền.
4. Về các điều kiện khác: Đáp ứng đủ điều kiện quy định tại Khoản 3 và Khoản 4 Điều 2 Thông tư số 29/2015/TT-BYT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2026-05-26T20:34:54Z</dcterms:created>
  <dc:creator>Apache POI</dc:creator>
</cp:coreProperties>
</file>