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1.007357.000.00.00.H32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năng lực hoạt động xây dựng hạng II,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Tổ chức đề nghị cấp lại nội dung chứng chỉ năng lực hạng II, hạng III gửi 01 bộ hồ sơ theo quy định qua mạng trực tuyến hoặc qua đường bưu điện hoặc nộp trực tiếp tại Sở Xây dựng.
-- Trong thời hạn 05 ngày kể từ ngày nhận được hồ sơ, Sở Xây dựng thông báo một lần bằng văn bản tới tổ chức đề nghị cấp chứng chỉ năng lực trường hợp hồ sơ không đầy đủ hoặc không hợp lệ.
-- Trong thời hạn 10 ngày kể từ ngày nhận đủ hồ sơ hợp lệ, Sở Xây dựng có trách nhiệm cấp chứng chỉ năng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500000 Đồng</w:t>
              <w:t xml:space="preserve"> (500.000 đồng/chứng chỉ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5000000 Đồng</w:t>
              <w:t xml:space="preserve"> (500.000 đồng/chứng chỉ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5000000 Đồng</w:t>
              <w:t xml:space="preserve"> (500.000 đồng/chứng chỉ theo quy định tại Điểm b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tệp tin chứa ảnh màu chụp từ bản chính hoặc bản sao, xuất trình bản chính để đối chiếu chứng chỉ năng lực đã được cấp, trường hợp bị mất chứng chỉ năng lực thì phải có cam kết của tổ chức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chứng chỉ năng lực hoạt động xây dựng theo mẫu tại Phụ lục V Nghị định số 100/2018/NĐ-CP.</w:t>
            </w:r>
          </w:p>
        </w:tc>
        <w:tc>
          <w:p/>
          <w:p>
            <w:pPr>
              <w:spacing w:after="0" w:before="0" w:lineRule="auto" w:line="276"/>
              <w:jc w:val="left"/>
            </w:pPr>
            <w:r>
              <w:rPr>
                <w:rFonts w:ascii="Times New Roman" w:hAnsi="Times New Roman" w:cs="Times New Roman" w:eastAsia="Times New Roman"/>
                <w:b w:val="false"/>
                <w:sz w:val="26"/>
              </w:rPr>
              <w:t>Đon de nghi cap chung chi nang luc hoat dong xay dung.docx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sao có chứng thực hoặc tệp tin chứa ảnh màu chụp từ bản chính hoặc bản sao, xuất trình bản chính để đối chiếu chứng chỉ năng lực đã được cấp, trường hợp bị mất chứng chỉ năng lực thì phải có cam kết của tổ chức đề nghị cấp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2026-05-26T22:01:06Z</dcterms:created>
  <dc:creator>Apache POI</dc:creator>
</cp:coreProperties>
</file>