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về nguyên tắc để tăng/giảm mức vốn điều lệ, vốn được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bảo hiểm nộp hồ sơ cho Bộ Tài chính;
+ Bước 2: Bộ Tài chính xem xét, thẩm định hồ sơ đề nghị;
+ Bước 3: Bộ Tài chính có văn bản trả lời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được thay đổi mức vốn điều lệ, vốn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cấp có thẩm quyền về việc thay đổi mức vốn điều lệ (hoặc vốn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tăng vốn điều lệ, vốn được cấp xác định rõ:  - Nhu cầu tăng vốn và việc sử dụng vốn;  - Hiệu quả kinh doanh trên cơ sở vốn điều lệ (hoặc vốn được cấp) mới;  - Khả năng quản trị, năng lực quản lý, giám sát của doanh nghiệp bảo hiểm, chi nhánh doanh nước ngoài đối với quy mô vốn và quy mô hoạt động tăng lên tương ứng;  - Tính khả thi của phương án tăng vốn: tổng mức vốn tăng thêm, phương thức và thời hạn huy động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cổ đông (hoặc thành viên) dự kiến sở hữu từ 10% vốn điều lệ trở lên của doanh nghiệp bảo hiểm sau khi tăng vốn và tài liệu chứng minh các cổ đông (hoặc thành viên) này đáp ứng điều kiện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giảm vốn điều lệ (hoặc vốn được cấp) phải chứng minh được doanh nghiệp bảo hiểm, chi nhánh nước ngoài bảo đảm thanh toán đủ các khoản nợ và các nghĩa vụ tài sản khác sau khi giảm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giám sát bảo hiểm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50/2017/TT-BTC</w:t>
            </w:r>
          </w:p>
        </w:tc>
        <w:tc>
          <w:p/>
          <w:p>
            <w:pPr>
              <w:spacing w:after="0" w:before="0" w:lineRule="auto" w:line="276"/>
              <w:jc w:val="left"/>
            </w:pPr>
            <w:r>
              <w:rPr>
                <w:rFonts w:ascii="Times New Roman" w:hAnsi="Times New Roman" w:cs="Times New Roman" w:eastAsia="Times New Roman"/>
                <w:b w:val="false"/>
                <w:sz w:val="26"/>
              </w:rPr>
              <w:t>Hướng dẫn thi hành Nghị định số 73/2016/NĐ-CP ngày 01 tháng 7 năm 2016 của Chính phủ quy đinh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15-05-2017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2026-05-19T12:36:26Z</dcterms:created>
  <dc:creator>Apache POI</dc:creator>
</cp:coreProperties>
</file>