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1.008491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4472/QĐ-BTC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thuế lần đầu đối với người nộp thuế là Người điều hành, công ty điều hành chung, doanh nghiệp liên doanh, tổ chức được Chính phủ Việt Nam giao nhiệm vụ tiếp nhận phần được chia của Việt Nam thuộc các mỏ dầu khí tại vùng chồng lấn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Thuế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Trong thời hạn 10 ngày làm việc kể từ ngày ký hợp đồng, hiệp định dầu khí thì người nộp thuế (NNT) chuẩn bị hồ sơ đăng ký thuế đầy đủ theo đúng quy định, gửi đến Thuế tỉnh, thành phố nơi đặt trụ sở hoặc Chi cục Thuế doanh nghiệp lớn trong trường hợp người nộp thuế được phân công cho Chi cục Thuế doanh nghiệp lớn quản lý để làm thủ tục đăng ký thuế.
++ Đối với trường hợp hồ sơ đăng ký thuế điện tử: Người nộp thuế (NNT) truy cập vào Cổng thông tin điện tử mà người nộp thuế lựa chọn (Cổng thông tin điện tử của Cục Thuế/Cổng thông tin điện tử của cơ quan nhà nước có thẩm quyền bao gồm Cổng dịch vụ công quốc gia, Cổng dịch vụ công cấp Bộ, cấp tỉnh theo quy định về thực hiện cơ chế một cửa, một cửa liên thông trong giải quyết thủ tục hành chính và đã được kết nối với Cổng thông tin điện tử của Cục Thuế/Cổng thông tin của tổ chức cung cấp dịch vụ T-VAN) để khai tờ khai và gửi kèm các hồ sơ theo quy định dưới dạng điện tử (nếu có), ký điện tử và gửi đến cơ quan thuế qua Cổng thông tin điện tử mà người nộp thuế lựa chọn;
+ Bước 2: Cơ quan thuế tiếp nhận:
++ Đối với hồ sơ bằng giấy:
+++ Trường hợp hồ sơ được nộp trực tiếp tại cơ quan thuế: Công chức thuế kiểm tra hồ sơ đăng ký thuế. Trường hợp hồ sơ đầy đủ theo quy định, công chức thuế tiếp nhận và đóng dấu tiếp nhận vào hồ sơ đăng ký thuế, ghi rõ ngày nhận hồ sơ, số lượng tài liệu theo bảng kê danh mục hồ sơ; lập phiếu tiếp nhận và hẹn trả kết quả, thời hạn xử lý hồ sơ đã tiếp nhận. Trường hợp hồ sơ không đầy đủ theo quy định, công chức thuế không tiếp nhận và hướng dẫn người nộp thuế hoàn thiện hồ sơ.
+++ Trường hợp hồ sơ gửi bằng đường bưu chính: Công chức thuế đóng dấu tiếp nhận, ghi ngày nhận hồ sơ vào hồ sơ và ghi số văn thư của cơ quan thuế. Trường hợp hồ sơ không đầy đủ cần phải giải trình, bổ sung thông tin, tài liệu, cơ quan thuế thông báo cho người nộp thuế theo mẫu số 01/TB-BSTT-NNT tại Phụ lục II ban hành kèm theo Nghị định số 126/2020/NĐ-CP ngày 19/10/2020 của Chính phủ trong thời hạn 02 (hai) ngày làm việc kể từ ngày tiếp nhận hồ sơ.
++ Đối với hồ sơ điện tử:
Cơ quan thuế thực hiện tiếp nhận hồ sơ qua Cổng thông tin điện tử của Cục Thuế, thực hiện kiểm tra, giải quyết hồ sơ thông qua hệ thống xử lý dữ liệu điện tử của cơ quan thuế.
+++ Tiếp nhận hồ sơ: Cổng thông tin điện tử của Cục Thuế gửi thông báo tiếp nhận hồ sơ cho NNT qua Cổng thông tin điện tử mà người nộp thuế lựa chọn lập và gửi hồ sơ (Cổng thông tin điện tử của Cục Thuế/Cổng thông tin điện tử của cơ quan nhà nước có thẩm quyền hoặc tổ chức cung cấp dịch vụ T-VAN) chậm nhất 15 phút kể từ khi nhận được hồ sơ đăng ký thuế điện tử của người nộp thuế.
+++ Kiểm tra, giải quyết hồ sơ: Cơ quan thuế thực hiện kiểm tra, giải quyết hồ sơ của người nộp thuế theo quy định của pháp luật về đăng ký thuế và trả kết quả giải quyết qua Cổng thông tin điện tử mà người nộp thuế lựa chọn lập và gửi hồ sơ.
++++ Trường hợp hồ sơ đầy đủ, đúng thủ tục theo quy định: Cơ quan thuế gửi kết quả giải quyết hồ sơ đến Cổng thông tin điện tử mà người nộp thuế lựa chọn lập và gửi hồ sơ theo thời hạn quy định tại Thông tư số 86/2024/TT-BTC ngày 23/12/2024 của Bộ Tài chính.
++++ Trường hợp hồ sơ chưa đầy đủ, chưa đúng thủ tục theo quy định: Cơ quan thuế gửi thông báo về việc không chấp nhận hồ sơ, gửi đến Cổng thông tin điện tử mà người nộp thuế lựa chọn lập và gửi hồ sơ trong thời hạn 02 (hai) ngày làm việc kể từ ngày ghi trên Thông báo tiếp nhận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03 (ba) ngày làm việc kể từ ngày cơ quan thuế nhận được hồ sơ đăng ký thuế đầy đủ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03 (ba) ngày làm việc kể từ ngày cơ quan thuế nhận được hồ sơ đăng ký thuế đầy đủ theo quy định.
Bằng phương thức điện tử qua Cổng thông tin điện tử của Tổng cục Thuế/Cổng thông tin điện tử của cơ quan nhà nước có thẩm quyền bao gồm Cổng dịch vụ công quốc gia, Cổng dịch vụ công cấp Bộ, cấp tỉnh theo quy định về thực hiện cơ chế một cửa, một cửa liên thông trong giải quyết thủ tục hành chính và đã được kết nối với Cổng thông tin điện tử của Tổng cục Thuế/Cổng thông tin của tổ chức cung cấp dịch vụ T-VAN theo quy định tại Thông tư sô 19/2021/TT-BTC ngày 18/3/2021 của Bộ Tài chính hướng dẫn Giao dịch điện tử trong lĩnh vực thuế và Thông tư số 46/2024/TT-BTC ngày 09/07/2024 sửa đổi, bổ sung một số điều của Thông tư số 19/2021/TT-BTC ngày 18/3/2021 hướng dẫn giao dịch điện tử trong lĩnh vực thuế của Bộ Tài chính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03 (ba) ngày làm việc kể từ ngày cơ quan thuế nhận được hồ sơ đăng ký thuế đầy đủ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thuế mẫu số 01-ĐK-TCT ban hành kèm theo Thông tư số 86/2024/TT-BTC ngày 23/12/2024 của Bộ Tài chính</w:t>
            </w:r>
          </w:p>
        </w:tc>
        <w:tc>
          <w:p/>
          <w:p>
            <w:pPr>
              <w:spacing w:after="0" w:before="0" w:lineRule="auto" w:line="276"/>
              <w:jc w:val="left"/>
            </w:pPr>
            <w:r>
              <w:rPr>
                <w:rFonts w:ascii="Times New Roman" w:hAnsi="Times New Roman" w:cs="Times New Roman" w:eastAsia="Times New Roman"/>
                <w:b w:val="false"/>
                <w:sz w:val="26"/>
              </w:rPr>
              <w:t>MS01-K-TCT.doc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Bảng kê nhà thầu, nhà đầu tư dầu khí mẫu số BK05-ĐK-TCT ban hành kèm theo Thông tư số 86/2024/TT-BTC ngày 23/12/2024 của Bộ Tài chính;</w:t>
            </w:r>
          </w:p>
        </w:tc>
        <w:tc>
          <w:p/>
          <w:p>
            <w:pPr>
              <w:spacing w:after="0" w:before="0" w:lineRule="auto" w:line="276"/>
              <w:jc w:val="left"/>
            </w:pPr>
            <w:r>
              <w:rPr>
                <w:rFonts w:ascii="Times New Roman" w:hAnsi="Times New Roman" w:cs="Times New Roman" w:eastAsia="Times New Roman"/>
                <w:b w:val="false"/>
                <w:sz w:val="26"/>
              </w:rPr>
              <w:t>MSBK05-K-TCT.docx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chứng nhận đầu tư, hoặc Giấy phép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thuế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thuế (10 MST)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38/2019/QH14</w:t>
            </w:r>
          </w:p>
        </w:tc>
        <w:tc>
          <w:p/>
          <w:p>
            <w:pPr>
              <w:spacing w:after="0" w:before="0" w:lineRule="auto" w:line="276"/>
              <w:jc w:val="left"/>
            </w:pPr>
            <w:r>
              <w:rPr>
                <w:rFonts w:ascii="Times New Roman" w:hAnsi="Times New Roman" w:cs="Times New Roman" w:eastAsia="Times New Roman"/>
                <w:b w:val="false"/>
                <w:sz w:val="26"/>
              </w:rPr>
              <w:t>Luật 38/2019/QH14</w:t>
            </w:r>
          </w:p>
        </w:tc>
        <w:tc>
          <w:p/>
          <w:p>
            <w:pPr>
              <w:spacing w:after="0" w:before="0" w:lineRule="auto" w:line="276"/>
              <w:jc w:val="left"/>
            </w:pPr>
            <w:r>
              <w:rPr>
                <w:rFonts w:ascii="Times New Roman" w:hAnsi="Times New Roman" w:cs="Times New Roman" w:eastAsia="Times New Roman"/>
                <w:b w:val="false"/>
                <w:sz w:val="26"/>
              </w:rPr>
              <w:t>13-06-2019</w:t>
            </w:r>
          </w:p>
        </w:tc>
        <w:tc>
          <w:p/>
        </w:tc>
      </w:tr>
      <w:tr>
        <w:tc>
          <w:p/>
          <w:p>
            <w:pPr>
              <w:spacing w:after="0" w:before="0" w:lineRule="auto" w:line="276"/>
              <w:jc w:val="left"/>
            </w:pPr>
            <w:r>
              <w:rPr>
                <w:rFonts w:ascii="Times New Roman" w:hAnsi="Times New Roman" w:cs="Times New Roman" w:eastAsia="Times New Roman"/>
                <w:b w:val="false"/>
                <w:sz w:val="26"/>
              </w:rPr>
              <w:t>19/2021/TT-BTC</w:t>
            </w:r>
          </w:p>
        </w:tc>
        <w:tc>
          <w:p/>
          <w:p>
            <w:pPr>
              <w:spacing w:after="0" w:before="0" w:lineRule="auto" w:line="276"/>
              <w:jc w:val="left"/>
            </w:pPr>
            <w:r>
              <w:rPr>
                <w:rFonts w:ascii="Times New Roman" w:hAnsi="Times New Roman" w:cs="Times New Roman" w:eastAsia="Times New Roman"/>
                <w:b w:val="false"/>
                <w:sz w:val="26"/>
              </w:rPr>
              <w:t>Thông tư 19/2021/TT-BTC</w:t>
            </w:r>
          </w:p>
        </w:tc>
        <w:tc>
          <w:p/>
          <w:p>
            <w:pPr>
              <w:spacing w:after="0" w:before="0" w:lineRule="auto" w:line="276"/>
              <w:jc w:val="left"/>
            </w:pPr>
            <w:r>
              <w:rPr>
                <w:rFonts w:ascii="Times New Roman" w:hAnsi="Times New Roman" w:cs="Times New Roman" w:eastAsia="Times New Roman"/>
                <w:b w:val="false"/>
                <w:sz w:val="26"/>
              </w:rPr>
              <w:t>18-03-2021</w:t>
            </w:r>
          </w:p>
        </w:tc>
        <w:tc>
          <w:p/>
        </w:tc>
      </w:tr>
      <w:tr>
        <w:tc>
          <w:p/>
          <w:p>
            <w:pPr>
              <w:spacing w:after="0" w:before="0" w:lineRule="auto" w:line="276"/>
              <w:jc w:val="left"/>
            </w:pPr>
            <w:r>
              <w:rPr>
                <w:rFonts w:ascii="Times New Roman" w:hAnsi="Times New Roman" w:cs="Times New Roman" w:eastAsia="Times New Roman"/>
                <w:b w:val="false"/>
                <w:sz w:val="26"/>
              </w:rPr>
              <w:t>46/2024/TT-BTC</w:t>
            </w:r>
          </w:p>
        </w:tc>
        <w:tc>
          <w:p/>
          <w:p>
            <w:pPr>
              <w:spacing w:after="0" w:before="0" w:lineRule="auto" w:line="276"/>
              <w:jc w:val="left"/>
            </w:pPr>
            <w:r>
              <w:rPr>
                <w:rFonts w:ascii="Times New Roman" w:hAnsi="Times New Roman" w:cs="Times New Roman" w:eastAsia="Times New Roman"/>
                <w:b w:val="false"/>
                <w:sz w:val="26"/>
              </w:rPr>
              <w:t>46/2024/TT-BTC</w:t>
            </w:r>
          </w:p>
        </w:tc>
        <w:tc>
          <w:p/>
          <w:p>
            <w:pPr>
              <w:spacing w:after="0" w:before="0" w:lineRule="auto" w:line="276"/>
              <w:jc w:val="left"/>
            </w:pPr>
            <w:r>
              <w:rPr>
                <w:rFonts w:ascii="Times New Roman" w:hAnsi="Times New Roman" w:cs="Times New Roman" w:eastAsia="Times New Roman"/>
                <w:b w:val="false"/>
                <w:sz w:val="26"/>
              </w:rPr>
              <w:t>09-07-2024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86/2024/TT-BTC</w:t>
            </w:r>
          </w:p>
        </w:tc>
        <w:tc>
          <w:p/>
          <w:p>
            <w:pPr>
              <w:spacing w:after="0" w:before="0" w:lineRule="auto" w:line="276"/>
              <w:jc w:val="left"/>
            </w:pPr>
            <w:r>
              <w:rPr>
                <w:rFonts w:ascii="Times New Roman" w:hAnsi="Times New Roman" w:cs="Times New Roman" w:eastAsia="Times New Roman"/>
                <w:b w:val="false"/>
                <w:sz w:val="26"/>
              </w:rPr>
              <w:t>86/2024/TT-BTC</w:t>
            </w:r>
          </w:p>
        </w:tc>
        <w:tc>
          <w:p/>
          <w:p>
            <w:pPr>
              <w:spacing w:after="0" w:before="0" w:lineRule="auto" w:line="276"/>
              <w:jc w:val="left"/>
            </w:pPr>
            <w:r>
              <w:rPr>
                <w:rFonts w:ascii="Times New Roman" w:hAnsi="Times New Roman" w:cs="Times New Roman" w:eastAsia="Times New Roman"/>
                <w:b w:val="false"/>
                <w:sz w:val="26"/>
              </w:rPr>
              <w:t>23-12-2024</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40/2025/TT-BTC</w:t>
            </w:r>
          </w:p>
        </w:tc>
        <w:tc>
          <w:p/>
          <w:p>
            <w:pPr>
              <w:spacing w:after="0" w:before="0" w:lineRule="auto" w:line="276"/>
              <w:jc w:val="left"/>
            </w:pPr>
            <w:r>
              <w:rPr>
                <w:rFonts w:ascii="Times New Roman" w:hAnsi="Times New Roman" w:cs="Times New Roman" w:eastAsia="Times New Roman"/>
                <w:b w:val="false"/>
                <w:sz w:val="26"/>
              </w:rPr>
              <w:t>Thông tư số 40/2025/TT-BTC Sửa đổi, bổ sung một số điều của các Thông tư thuộc lĩnh vực quản lý thuế để phân định thẩm quyền của chính quyền địa phương theo mô hình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13-06-2025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Trường hợp người nộp thuế lựa chọn và gửi hồ sơ đến cơ quan thuế thông qua giao dịch điện tử thì phải tuân thủ đúng các quy định của pháp luật về giao dịch điện tử đồng thời đăng ký và đảm bảo đầy đủ các điều kiện thực hiện giao dịch điện tử trong lĩnh vực thuế theo quy định tại Thông tư số 19/2021/TT-BTC ngày 18/3/2021 và Thông tư số 46/2024/TT-BTC ngày 09/07/2024 sửa đổi, bổ sung một số điều của Thông tư số 19/2021/TT-BTC ngày 18/3/2021 hướng dẫn giao dịch điện tử trong lĩnh vực thuế của Bộ Tài chính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2026-05-17T12:39:46Z</dcterms:created>
  <dc:creator>Apache POI</dc:creator>
</cp:coreProperties>
</file>