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1.008493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4472/QĐ-BTC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thuế lần đầu đối với người nộp thuế là nhà thầu, nhà thầu phụ nước ngoài trực tiếp kê khai, nộp thuế nhà thầu hoặc các nghĩa vụ thuế khác trừ thuế nhà thầu do bên Việt Nam khấu trừ nộp thay với cơ quan thuế</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làm việc kể từ ngày ký hợp đồng nhận thầu đối với nhà thầu, nhà thầu phụ nước ngoài kê khai nộp thuế nhà thầu trực tiếp với cơ quan thuế; phát sinh nghĩa vụ thuế thu nhập cá nhân, phát sinh nghĩa vụ khác với ngân sách nhà nước, nhà thầu nước ngoài, nhà thầu phụ nước ngoài thực hiện nộp hồ sơ đến Thuế tỉnh, thành phố nơi đóng trụ sở.
++ Đối với trường hợp hồ sơ đăng ký thuế điện tử: Người nộp thuế (NNT) truy cập vào Cổng thông tin điện tử mà người nộp thuế lựa chọn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để khai tờ khai và gửi kèm các hồ sơ theo quy định dưới dạng điện tử (nếu có), ký điện tử và gửi đến cơ quan thuế qua Cổng thông tin điện tử mà người nộp thuế lựa chọn;
+ Bước 2: Cơ quan thuế tiếp nhận:
++ Đối với hồ sơ bằng giấy:
+++ Trường hợp hồ sơ được nộp trực tiếp tại cơ quan thuế: Công chức thuế kiểm tra hồ sơ đăng ký thuế. Trường hợp hồ sơ đầy đủ theo quy định, công chức thuế tiếp nhận và đóng dấu tiếp nhận vào hồ sơ đăng ký thuế, ghi rõ ngày nhận hồ sơ, số lượng tài liệu theo bảng kê danh mục hồ sơ; lập phiếu tiếp nhận và hẹn trả kết quả, thời hạn xử lý hồ sơ đã tiếp nhận. Trường hợp hồ sơ không đầy đủ theo quy định, công chức thuế không tiếp nhận và hướng dẫn người nộp thuế hoàn thiện hồ sơ.
+++ Trường hợp hồ sơ gửi bằng đường bưu chính: Công chức thuế đóng dấu tiếp nhận, ghi ngày nhận hồ sơ vào hồ sơ và ghi số văn thư của cơ quan thuế. Trường hợp hồ sơ không đầy đủ cần phải giải trình, bổ sung thông tin, tài liệu, cơ quan thuế thông báo cho người nộp thuế theo mẫu số 01/TB-BSTT-NNT tại Phụ lục II ban hành kèm theo Nghị định số 126/2020/NĐ-CP ngày 19/10/2020 của Chính phủ trong thời hạn 02 (hai) ngày làm việc kể từ ngày tiếp nhận hồ sơ.
++ Đối với hồ sơ điện tử:
Cơ quan thuế thực hiện tiếp nhận hồ sơ qua Cổng thông tin điện tử của Cục Thuế, thực hiện kiểm tra, giải quyết hồ sơ thông qua hệ thống xử lý dữ liệu điện tử của cơ quan thuế.
+++ Tiếp nhận hồ sơ: Cổng thông tin điện tử của Cục Thuế gửi thông báo tiếp nhận hồ sơ cho NNT qua Cổng thông tin điện tử mà người nộp thuế lựa chọn lập và gửi hồ sơ (Cổng thông tin điện tử của Cục Thuế/Cổng thông tin điện tử của cơ quan nhà nước có thẩm quyền hoặc tổ chức cung cấp dịch vụ T-VAN) chậm nhất 15 phút kể từ khi nhận được hồ sơ đăng ký thuế điện tử của người nộp thuế.
+++ Kiểm tra, giải quyết hồ sơ: Cơ quan thuế thực hiện kiểm tra, giải quyết hồ sơ của người nộp thuế theo quy định của pháp luật về đăng ký thuế và trả kết quả giải quyết qua Cổng thông tin điện tử mà người nộp thuế lựa chọn lập và gửi hồ sơ.
++++ Trường hợp hồ sơ đầy đủ, đúng thủ tục theo quy định: Cơ quan thuế gửi kết quả giải quyết hồ sơ đến Cổng thông tin điện tử mà người nộp thuế lựa chọn lập và gửi hồ sơ theo thời hạn quy định tại Thông tư số 86/2024/TT-BTC ngày 23/12/2024 của Bộ Tài chính.
++++ Trường hợp hồ sơ chưa đầy đủ, chưa đúng thủ tục theo quy định: Cơ quan thuế gửi thông báo về việc không chấp nhận hồ sơ, gửi đến Cổng thông tin điện tử mà người nộp thuế lựa chọn lập và gửi hồ sơ trong thời hạn 02 (hai) ngày làm việc kể từ ngày ghi trên Thông báo tiếp nhận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Bằng phương thức điện tử qua Cổng thông tin điện tử của Cục Thuế/Cổng thông tin điện tử của cơ quan nhà nước có thẩm quyền bao gồm Cổng dịch vụ công quốc gia, Cổng dịch vụ công cấp Bộ, cấp tỉnh theo quy định về thực hiện cơ chế một cửa, một cửa liên thông trong giải quyết thủ tục hành chính và đã được kết nối với Cổng thông tin điện tử của Cục Thuế/Cổng thông tin của tổ chức cung cấp dịch vụ T-VAN theo quy định tại Thông tư số 19/2021/TT-BTC ngày 18/3/2021 và Thông tư số 46/2024/TT-BTC ngày 09/07/2024 sửa đổi, bổ sung một số điều của Thông tư số 19/2021/TT-BTC ngày 18/3/2021 hướng dẫn giao dịch điện tử trong lĩnh vực thuế của Bộ Tài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(ba) ngày làm việc kể từ ngày cơ quan thuế nhận được hồ sơ đăng ký thuế đầy đủ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đăng ký thuế mẫu số 04-ĐK-TCT ban hành kèm theo Thông tư số 86/2024/TT-BTC ngày 23/12/2024 của Bộ Tài chính;</w:t>
            </w:r>
          </w:p>
        </w:tc>
        <w:tc>
          <w:p/>
          <w:p>
            <w:pPr>
              <w:spacing w:after="0" w:before="0" w:lineRule="auto" w:line="276"/>
              <w:jc w:val="left"/>
            </w:pPr>
            <w:r>
              <w:rPr>
                <w:rFonts w:ascii="Times New Roman" w:hAnsi="Times New Roman" w:cs="Times New Roman" w:eastAsia="Times New Roman"/>
                <w:b w:val="false"/>
                <w:sz w:val="26"/>
              </w:rPr>
              <w:t>MS04-K-TCT.doc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Bảng kê các nhà thầu nước ngoài, nhà thầu phụ nước ngoài mẫu số BK04-ĐK-TCT ban hành kèm theo Thông tư số 86/2024/TT-BTC ngày 23/12/2024 của Bộ Tài chính (nếu có).</w:t>
            </w:r>
          </w:p>
        </w:tc>
        <w:tc>
          <w:p/>
          <w:p>
            <w:pPr>
              <w:spacing w:after="0" w:before="0" w:lineRule="auto" w:line="276"/>
              <w:jc w:val="left"/>
            </w:pPr>
            <w:r>
              <w:rPr>
                <w:rFonts w:ascii="Times New Roman" w:hAnsi="Times New Roman" w:cs="Times New Roman" w:eastAsia="Times New Roman"/>
                <w:b w:val="false"/>
                <w:sz w:val="26"/>
              </w:rPr>
              <w:t>MSBK04-K-TCT.docx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xác nhận đăng ký văn phòng điều hành hoặc Văn bản tương đương do cơ quan có thẩm quyền cấp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Người Việt Nam định cư ở nước ngoài, Người nước ngoài, Doanh nghiệp, Doanh nghiệp có vốn đầu tư nước ngoài,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Thuế tỉnh, thành phố.</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thuế (10 MST)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38/2019/QH14</w:t>
            </w:r>
          </w:p>
        </w:tc>
        <w:tc>
          <w:p/>
          <w:p>
            <w:pPr>
              <w:spacing w:after="0" w:before="0" w:lineRule="auto" w:line="276"/>
              <w:jc w:val="left"/>
            </w:pPr>
            <w:r>
              <w:rPr>
                <w:rFonts w:ascii="Times New Roman" w:hAnsi="Times New Roman" w:cs="Times New Roman" w:eastAsia="Times New Roman"/>
                <w:b w:val="false"/>
                <w:sz w:val="26"/>
              </w:rPr>
              <w:t>13-06-2019</w:t>
            </w:r>
          </w:p>
        </w:tc>
        <w:tc>
          <w:p/>
        </w:tc>
      </w:tr>
      <w:tr>
        <w:tc>
          <w:p/>
          <w:p>
            <w:pPr>
              <w:spacing w:after="0" w:before="0" w:lineRule="auto" w:line="276"/>
              <w:jc w:val="left"/>
            </w:pPr>
            <w:r>
              <w:rPr>
                <w:rFonts w:ascii="Times New Roman" w:hAnsi="Times New Roman" w:cs="Times New Roman" w:eastAsia="Times New Roman"/>
                <w:b w:val="false"/>
                <w:sz w:val="26"/>
              </w:rPr>
              <w:t>19/2021/TT-BTC</w:t>
            </w:r>
          </w:p>
        </w:tc>
        <w:tc>
          <w:p/>
          <w:p>
            <w:pPr>
              <w:spacing w:after="0" w:before="0" w:lineRule="auto" w:line="276"/>
              <w:jc w:val="left"/>
            </w:pPr>
            <w:r>
              <w:rPr>
                <w:rFonts w:ascii="Times New Roman" w:hAnsi="Times New Roman" w:cs="Times New Roman" w:eastAsia="Times New Roman"/>
                <w:b w:val="false"/>
                <w:sz w:val="26"/>
              </w:rPr>
              <w:t>Thông tư 19/2021/TT-BTC</w:t>
            </w:r>
          </w:p>
        </w:tc>
        <w:tc>
          <w:p/>
          <w:p>
            <w:pPr>
              <w:spacing w:after="0" w:before="0" w:lineRule="auto" w:line="276"/>
              <w:jc w:val="left"/>
            </w:pPr>
            <w:r>
              <w:rPr>
                <w:rFonts w:ascii="Times New Roman" w:hAnsi="Times New Roman" w:cs="Times New Roman" w:eastAsia="Times New Roman"/>
                <w:b w:val="false"/>
                <w:sz w:val="26"/>
              </w:rPr>
              <w:t>18-03-2021</w:t>
            </w:r>
          </w:p>
        </w:tc>
        <w:tc>
          <w:p/>
        </w:tc>
      </w:tr>
      <w:tr>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46/2024/TT-BTC</w:t>
            </w:r>
          </w:p>
        </w:tc>
        <w:tc>
          <w:p/>
          <w:p>
            <w:pPr>
              <w:spacing w:after="0" w:before="0" w:lineRule="auto" w:line="276"/>
              <w:jc w:val="left"/>
            </w:pPr>
            <w:r>
              <w:rPr>
                <w:rFonts w:ascii="Times New Roman" w:hAnsi="Times New Roman" w:cs="Times New Roman" w:eastAsia="Times New Roman"/>
                <w:b w:val="false"/>
                <w:sz w:val="26"/>
              </w:rPr>
              <w:t>09-07-2024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86/2024/TT-BTC</w:t>
            </w:r>
          </w:p>
        </w:tc>
        <w:tc>
          <w:p/>
          <w:p>
            <w:pPr>
              <w:spacing w:after="0" w:before="0" w:lineRule="auto" w:line="276"/>
              <w:jc w:val="left"/>
            </w:pPr>
            <w:r>
              <w:rPr>
                <w:rFonts w:ascii="Times New Roman" w:hAnsi="Times New Roman" w:cs="Times New Roman" w:eastAsia="Times New Roman"/>
                <w:b w:val="false"/>
                <w:sz w:val="26"/>
              </w:rPr>
              <w:t>23-12-2024</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56/2024/QH15</w:t>
            </w:r>
          </w:p>
        </w:tc>
        <w:tc>
          <w:p/>
          <w:p>
            <w:pPr>
              <w:spacing w:after="0" w:before="0" w:lineRule="auto" w:line="276"/>
              <w:jc w:val="left"/>
            </w:pPr>
            <w:r>
              <w:rPr>
                <w:rFonts w:ascii="Times New Roman" w:hAnsi="Times New Roman" w:cs="Times New Roman" w:eastAsia="Times New Roman"/>
                <w:b w:val="false"/>
                <w:sz w:val="26"/>
              </w:rPr>
              <w:t>Luật số 56/2024/QH15 của Quốc hội: Luật sửa đổi, bổ sung một số điều của Luật Chứng khoán, Luật Kế toán, Luật Kiểm toán độc lập, Luật Ngân sách nhà nước, Luật Quản lý, sử dụng tài sản công, Luật Quản lý thuế, Luật Thuế thu nhập cá nhân, Luật Dự trữ quốc gia, Luật Xử lý vi phạm hành chính</w:t>
            </w:r>
          </w:p>
        </w:tc>
        <w:tc>
          <w:p/>
          <w:p>
            <w:pPr>
              <w:spacing w:after="0" w:before="0" w:lineRule="auto" w:line="276"/>
              <w:jc w:val="left"/>
            </w:pPr>
            <w:r>
              <w:rPr>
                <w:rFonts w:ascii="Times New Roman" w:hAnsi="Times New Roman" w:cs="Times New Roman" w:eastAsia="Times New Roman"/>
                <w:b w:val="false"/>
                <w:sz w:val="26"/>
              </w:rPr>
              <w:t>29-11-2024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40/2025/TT-BTC</w:t>
            </w:r>
          </w:p>
        </w:tc>
        <w:tc>
          <w:p/>
          <w:p>
            <w:pPr>
              <w:spacing w:after="0" w:before="0" w:lineRule="auto" w:line="276"/>
              <w:jc w:val="left"/>
            </w:pPr>
            <w:r>
              <w:rPr>
                <w:rFonts w:ascii="Times New Roman" w:hAnsi="Times New Roman" w:cs="Times New Roman" w:eastAsia="Times New Roman"/>
                <w:b w:val="false"/>
                <w:sz w:val="26"/>
              </w:rPr>
              <w:t>Thông tư số 40/2025/TT-BTC Sửa đổi, bổ sung một số điều của các Thông tư thuộc lĩnh vực quản lý thuế để phân định thẩm quyền của chính quyền địa phương theo mô hình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người nộp thuế lựa chọn và gửi hồ sơ đến cơ quan thuế thông qua giao dịch điện tử thì phải tuân thủ đúng các quy định của pháp luật về giao dịch điện tử đồng thời đăng ký và đảm bảo đầy đủ các điều kiện thực hiện giao dịch điện tử trong lĩnh vực thuế theo quy định tại Thông tư số 19/2021/TT-BTC ngày 18/3/2021 của Bộ trưởng Bộ Tài chính và Thông tư số 46/2024/TT-BTC ngày 09/07/2024 sửa đổi, bổ sung một số điều của Thông tư số 19/2021/TT-BTC ngày 18/3/2021 của Bộ Tài chính hướng dẫn giao dịch điện tử trong lĩnh vực thuế.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2026-05-26T19:41:59Z</dcterms:created>
  <dc:creator>Apache POI</dc:creator>
</cp:coreProperties>
</file>