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để cấp mã số thuế nộp thay đối với người nộp thuế là doanh nghiệp, tổ chức, cá nhân khấu trừ nộp thay cho nhà thầu, nhà thầu phụ nước ngoài; tổ chức hợp tác kinh doanh với cá nhân, tổ chức được giao quản lý hợp đồng hợp tác kinh doanh với tổ chức nhưng không thành lập pháp nhân riêng (nếu có nhu cầu cấp mã số thuế riêng cho hợp đồng hợp tác kinh doanh); Ngân hàng thương mại, tổ chức cung ứng dịch vụ trung gian thanh toán hoặc tổ chức, cá nhân được nhà cung cấp ở nước ngoài ủy quyền có trách nhiệm khấu trừ và nộp thuế thay cho nhà cung cấp ở nước ngoài; Tổ chức, cá nhân được cơ quan thuế ủy nhiệm thu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Phát sinh trách nhiệm khấu trừ thuế và nộp thuế thay theo hợp đồng, văn bản hợp tác kinh doanh; Uỷ nhiệm thu theo quy định của Luật quản lý thuế, người nộp thuế (NNT) chuẩn bị hồ sơ đăng ký thuế đầy đủ theo đúng quy định sau đó gửi đến cơ quan thuế quản lý trực tiếp hoặc tại cơ quan thuế ký hợp đồng ủy nhiệm thu để làm thủ tục đăng ký thuế.
++ Đối với trường hợp hồ sơ đăng ký thuế điện tử: Người nộp thuế (NNT) truy cập vào Cổng thông tin điện tử mà người nộp thuế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Tổng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tổ chức, cá nhân khấu trừ nộp thay cho nhà thầu nước ngoài, nhà thầu phụ nước ngoài, gồm: ++ Tờ khai đăng ký thuế theo mẫu số 04.1-ĐK-TCT ban hành kèm theo Thông tư số 86/2024/TT-BTC ngày 23/12/2024 của Bộ Tài chính; ++ Bảng kê các hợp đồng nhà thầu nước ngoài, nhà thầu phụ nước ngoài nộp thuế thông qua Bên Việt Nam mẫu số 04.1-ĐK-TCT-BK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MS04.1-K-TCT.doc</w:t>
            </w:r>
          </w:p>
          <w:p>
            <w:pPr>
              <w:spacing w:after="0" w:before="0" w:lineRule="auto" w:line="276"/>
              <w:jc w:val="left"/>
            </w:pPr>
            <w:r>
              <w:rPr>
                <w:rFonts w:ascii="Times New Roman" w:hAnsi="Times New Roman" w:cs="Times New Roman" w:eastAsia="Times New Roman"/>
                <w:b w:val="false"/>
                <w:sz w:val="26"/>
              </w:rPr>
              <w:t>MS04.1-K-TCT-BK.docx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hợp tác kinh doanh với cá nhân, tổ chức được giao quản lý hợp đồng hợp tác kinh doanh với tổ chức nhưng không thành lập pháp nhân riêng, gồm: ++ Tờ khai đăng ký thuế theo mẫu số 04.1-ĐK-TCT ban hành kèm theo Thông tư số 86/2024/TT-BTC ngày 23/12/2024 của Bộ Tài chính; ++ Bản sao hợp đồng hoặc văn bản hợp tác kinh doanh</w:t>
            </w:r>
          </w:p>
        </w:tc>
        <w:tc>
          <w:p/>
          <w:p>
            <w:pPr>
              <w:spacing w:after="0" w:before="0" w:lineRule="auto" w:line="276"/>
              <w:jc w:val="left"/>
            </w:pPr>
            <w:r>
              <w:rPr>
                <w:rFonts w:ascii="Times New Roman" w:hAnsi="Times New Roman" w:cs="Times New Roman" w:eastAsia="Times New Roman"/>
                <w:b w:val="false"/>
                <w:sz w:val="26"/>
              </w:rPr>
              <w:t>MS04.1-K-TCT.doc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Ngân hàng thương mại, tổ chức cung ứng dịch vụ trung gian thanh toán hoặc tổ chức, cá nhân được nhà cung cấp ở nước ngoài ủy quyền có trách nhiệm khấu trừ và nộp thuế thay cho nhà cung cấp ở nước ngoài, gồm: Tờ khai đăng ký thuế theo mẫu số 04.1-ĐK-TCT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MS04.1-K-TCT.doc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tổ chức, cá nhân được cơ quan thuế ủy nhiệm thu, gồm: Tờ khai đăng ký thuế mẫu số 04.4-ĐK-TCT ban hành kèm theo Thông tư số 86/2024/TT-BTC ngày 23/12/2024 của Bộ Tài chính; Thành phần hồ sơ :01 (Bộ)</w:t>
            </w:r>
          </w:p>
        </w:tc>
        <w:tc>
          <w:p/>
          <w:p>
            <w:pPr>
              <w:spacing w:after="0" w:before="0" w:lineRule="auto" w:line="276"/>
              <w:jc w:val="left"/>
            </w:pPr>
            <w:r>
              <w:rPr>
                <w:rFonts w:ascii="Times New Roman" w:hAnsi="Times New Roman" w:cs="Times New Roman" w:eastAsia="Times New Roman"/>
                <w:b w:val="false"/>
                <w:sz w:val="26"/>
              </w:rPr>
              <w:t>MS04.4-K-TCT.docx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mã số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2026-05-19T12:10:56Z</dcterms:created>
  <dc:creator>Apache POI</dc:creator>
</cp:coreProperties>
</file>