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đối với Nhà thầu nước ngoài, Nhà thầu phụ nước ngoài  nộp thuế GTGT theo phương pháp khấu trừ, nộp thuế TNDN theo tỷ lệ % tính trên doanh thu (Cấp Cục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Nhà thầu nước ngoài, Nhà thầu phụ nước ngoài trực tiếp thực hiện khai thuế GTGT theo phương pháp khấu trừ, thuế TNDN theo tỷ lệ % tính trên doanh thu, lập hồ sơ khai thuế và gửi đến cơ quan thuế quản lý trực tiếp Bên Việt Nam.
Đối với hợp đồng nhà thầu là hợp đồng xây dựng, lắp đặt thì nộp hồ sơ khai thuế, hồ sơ khai quyết toán thuế cho Cục thuế hoặc Chi cục Thuế do Cục trưởng Cục Thuế nơi diễn ra hoạt động xây dựng, lắp đặt quy định.
Trong phạm vi 20 (hai mươi) ngày làm việc kể từ khi ký hợp đồng, Bên Việt Nam ký hợp đồng với Nhà thầu nước ngoài, Nhà thầu nước ngoài ký hợp đồng với Nhà thầu phụ nước ngoài có trách nhiệm thông báo bằng văn bản với cơ quan thuế địa phương nơi Nhà thầu nước ngoài, Nhà thầu phụ nước ngoài đăng ký nộp thuế về việc Nhà thầu nước ngoài, Nhà thầu phụ nước ngoài trực tiếp đăng ký và thực hiện nộp thuế GTGT theo phương pháp khấu trừ, nộp thuế TNDN theo tỷ lệ % trên doanh thu chịu thuế.
Khi cơ quan thuế cấp Giấy chứng nhận đăng ký thuế cho Nhà thầu nước ngoài, nhà thầu phụ nước ngoài thì Nhà thầu nước ngoài, Nhà thầu phụ nước ngoài có trách nhiệm gửi 01 (một) bản chụp Giấy chứng nhận đăng ký thuế có xác nhận của Nhà thầu nước ngoài, Nhà thầu phụ nước ngoài cho bên Việt Nam hoặc Nhà thầu nước ngoài. Trường hợp có phát sinh việc thanh toán cho Nhà thầu nước ngoài trong thời gian bên Việt Nam chưa nhận được bản chụp Giấy chứng nhận đăng ký thuế của Nhà thầu nước ngoài thì bên Việt Nam có trách nhiệm kê khai, khấu trừ và nộp khoản thuế GTGT, thuế TNDN thay Nhà thầu nước ngoài, nhà thầu phụ nước ngoài theo hướng dẫn tại khoản 3 Điều này.
Khi Nhà thầu nước ngoài, Nhà thầu phụ nước ngoài đã được cơ quan thuế cấp giấy chứng nhận đăng ký thuế thì Nhà thầu nước ngoài, Nhà thầu phụ nước ngoài có trách nhiệm khai, nộp thuế GTGT theo phương pháp khấu trừ đối với doanh thu phát sinh kể từ khi được cấp giấy chứng nhận đăng ký thuế. Số thuế GTGT bên Việt Nam đã nộp thay Nhà thầu nước ngoài, Nhà thầu phụ nước ngoài theo tỷ lệ (%) không bù trừ vào số thuế GTGT phải nộp của Nhà thầu nước ngoài, Nhà thầu phụ nước ngoài; đồng thời Nhà thầu nước ngoài, Nhà thầu phụ nước ngoài không được khấu trừ thuế GTGT đầu vào phát sinh trước khi được cấp giấy chứng nhận đăng ký thuế.</w:t>
      </w:r>
    </w:p>
    <w:p>
      <w:pPr>
        <w:spacing w:after="0" w:before="0" w:lineRule="auto" w:line="276"/>
        <w:jc w:val="both"/>
      </w:pPr>
      <w:r>
        <w:rPr>
          <w:rFonts w:ascii="Times New Roman" w:hAnsi="Times New Roman" w:cs="Times New Roman" w:eastAsia="Times New Roman"/>
          <w:b w:val="false"/>
          <w:sz w:val="26"/>
        </w:rPr>
        <w:t>Bước 2. Cơ quan thuế tiếp nhận:
++ Trường hợp hồ sơ được nộp trực tiếp tại cơ quan thuế, công chức thuế tiếp nhận và đóng dấu tiếp nhận hồ sơ, ghi thời gian nhận hồ sơ, ghi nhận số lượng tài liệu trong hồ sơ và ghi vào sổ văn thư của cơ quan thuế.
++ Trường hợp hồ sơ được gửi qua đường bưu chính, công chức thuế đóng dấu ghi ngày nhận hồ sơ và ghi vào sổ văn thư của cơ quan thuế.
++ Trường hợp hồ sơ được nộp thông qua giao dịch điện tử, việc tiếp nhận, kiểm tra, chấp nhận hồ sơ khai thuế do cơ quan thuế thực hiện thông qua hệ thống xử lý dữ liệu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theo mẫu số 03/NTNN ban hành kèm theo Thông tư số 156/2013/TT-BTC;</w:t>
            </w:r>
          </w:p>
        </w:tc>
        <w:tc>
          <w:p/>
          <w:p>
            <w:pPr>
              <w:spacing w:after="0" w:before="0" w:lineRule="auto" w:line="276"/>
              <w:jc w:val="left"/>
            </w:pPr>
            <w:r>
              <w:rPr>
                <w:rFonts w:ascii="Times New Roman" w:hAnsi="Times New Roman" w:cs="Times New Roman" w:eastAsia="Times New Roman"/>
                <w:b w:val="false"/>
                <w:sz w:val="26"/>
              </w:rPr>
              <w:t>to khai 03 NNT.doc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hợp đồng nhà thầu, hợp đồng nhà thầu phụ có xác nhận của người nộp thuế (đối với lần khai thuế đầu tiên của hợp đồng nhà thầu);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giấy phép kinh doanh hoặc giấy phép hành nghề có xác nhận của người nộp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phải trả kết quả cho người nộp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78/2006/QH11</w:t>
            </w:r>
          </w:p>
        </w:tc>
        <w:tc>
          <w:p/>
          <w:p>
            <w:pPr>
              <w:spacing w:after="0" w:before="0" w:lineRule="auto" w:line="276"/>
              <w:jc w:val="left"/>
            </w:pPr>
            <w:r>
              <w:rPr>
                <w:rFonts w:ascii="Times New Roman" w:hAnsi="Times New Roman" w:cs="Times New Roman" w:eastAsia="Times New Roman"/>
                <w:b w:val="false"/>
                <w:sz w:val="26"/>
              </w:rPr>
              <w:t>Luật 78/2006/QH11</w:t>
            </w:r>
          </w:p>
        </w:tc>
        <w:tc>
          <w:p/>
          <w:p>
            <w:pPr>
              <w:spacing w:after="0" w:before="0" w:lineRule="auto" w:line="276"/>
              <w:jc w:val="left"/>
            </w:pPr>
            <w:r>
              <w:rPr>
                <w:rFonts w:ascii="Times New Roman" w:hAnsi="Times New Roman" w:cs="Times New Roman" w:eastAsia="Times New Roman"/>
                <w:b w:val="false"/>
                <w:sz w:val="26"/>
              </w:rPr>
              <w:t>29-11-2006</w:t>
            </w:r>
          </w:p>
        </w:tc>
        <w:tc>
          <w:p/>
        </w:tc>
      </w:tr>
      <w:tr>
        <w:tc>
          <w:p/>
          <w:p>
            <w:pPr>
              <w:spacing w:after="0" w:before="0" w:lineRule="auto" w:line="276"/>
              <w:jc w:val="left"/>
            </w:pPr>
            <w:r>
              <w:rPr>
                <w:rFonts w:ascii="Times New Roman" w:hAnsi="Times New Roman" w:cs="Times New Roman" w:eastAsia="Times New Roman"/>
                <w:b w:val="false"/>
                <w:sz w:val="26"/>
              </w:rPr>
              <w:t>83/2013/NĐ-CP</w:t>
            </w:r>
          </w:p>
        </w:tc>
        <w:tc>
          <w:p/>
          <w:p>
            <w:pPr>
              <w:spacing w:after="0" w:before="0" w:lineRule="auto" w:line="276"/>
              <w:jc w:val="left"/>
            </w:pPr>
            <w:r>
              <w:rPr>
                <w:rFonts w:ascii="Times New Roman" w:hAnsi="Times New Roman" w:cs="Times New Roman" w:eastAsia="Times New Roman"/>
                <w:b w:val="false"/>
                <w:sz w:val="26"/>
              </w:rPr>
              <w:t>Nghị định 83/2013/NĐ-CP</w:t>
            </w:r>
          </w:p>
        </w:tc>
        <w:tc>
          <w:p/>
          <w:p>
            <w:pPr>
              <w:spacing w:after="0" w:before="0" w:lineRule="auto" w:line="276"/>
              <w:jc w:val="left"/>
            </w:pPr>
            <w:r>
              <w:rPr>
                <w:rFonts w:ascii="Times New Roman" w:hAnsi="Times New Roman" w:cs="Times New Roman" w:eastAsia="Times New Roman"/>
                <w:b w:val="false"/>
                <w:sz w:val="26"/>
              </w:rPr>
              <w:t>22-07-2013</w:t>
            </w:r>
          </w:p>
        </w:tc>
        <w:tc>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w:t>
            </w:r>
          </w:p>
        </w:tc>
        <w:tc>
          <w:p/>
          <w:p>
            <w:pPr>
              <w:spacing w:after="0" w:before="0" w:lineRule="auto" w:line="276"/>
              <w:jc w:val="left"/>
            </w:pPr>
            <w:r>
              <w:rPr>
                <w:rFonts w:ascii="Times New Roman" w:hAnsi="Times New Roman" w:cs="Times New Roman" w:eastAsia="Times New Roman"/>
                <w:b w:val="false"/>
                <w:sz w:val="26"/>
              </w:rPr>
              <w:t>06-11-2013</w:t>
            </w:r>
          </w:p>
        </w:tc>
        <w:tc>
          <w:p/>
        </w:tc>
      </w:tr>
      <w:tr>
        <w:tc>
          <w:p/>
          <w:p>
            <w:pPr>
              <w:spacing w:after="0" w:before="0" w:lineRule="auto" w:line="276"/>
              <w:jc w:val="left"/>
            </w:pPr>
            <w:r>
              <w:rPr>
                <w:rFonts w:ascii="Times New Roman" w:hAnsi="Times New Roman" w:cs="Times New Roman" w:eastAsia="Times New Roman"/>
                <w:b w:val="false"/>
                <w:sz w:val="26"/>
              </w:rPr>
              <w:t>110/2015/TT-BTC</w:t>
            </w:r>
          </w:p>
        </w:tc>
        <w:tc>
          <w:p/>
          <w:p>
            <w:pPr>
              <w:spacing w:after="0" w:before="0" w:lineRule="auto" w:line="276"/>
              <w:jc w:val="left"/>
            </w:pPr>
            <w:r>
              <w:rPr>
                <w:rFonts w:ascii="Times New Roman" w:hAnsi="Times New Roman" w:cs="Times New Roman" w:eastAsia="Times New Roman"/>
                <w:b w:val="false"/>
                <w:sz w:val="26"/>
              </w:rPr>
              <w:t>Thông tư 110/2015/TT-BTC</w:t>
            </w:r>
          </w:p>
        </w:tc>
        <w:tc>
          <w:p/>
          <w:p>
            <w:pPr>
              <w:spacing w:after="0" w:before="0" w:lineRule="auto" w:line="276"/>
              <w:jc w:val="left"/>
            </w:pPr>
            <w:r>
              <w:rPr>
                <w:rFonts w:ascii="Times New Roman" w:hAnsi="Times New Roman" w:cs="Times New Roman" w:eastAsia="Times New Roman"/>
                <w:b w:val="false"/>
                <w:sz w:val="26"/>
              </w:rPr>
              <w:t>28-07-2015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2026-05-23T16:28:37Z</dcterms:created>
  <dc:creator>Apache POI</dc:creator>
</cp:coreProperties>
</file>