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Hoàn thuế TNCN đối với tổ chức, cá nhân trả thu nhập từ tiền lương, tiền công thực hiện quyết toán cho các cá nhân có ủy quyền quyết toán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trả thu nhập từ tiền lương, tiền công thực hiện quyết toán cho các cá nhân có ủy quyền sau khi bù trừ số thuế nộp thừa, nộp thiếu của các cá nhân mà có số thuế nộp thừa, nếu đề nghị cơ quan thuế hoàn trả thì tổ chức, cá nhân trả thu nhập chuẩn bị hồ sơ hoàn thuế.</w:t>
      </w:r>
    </w:p>
    <w:p>
      <w:pPr>
        <w:spacing w:after="0" w:before="0" w:lineRule="auto" w:line="276"/>
        <w:jc w:val="both"/>
      </w:pPr>
      <w:r>
        <w:rPr>
          <w:rFonts w:ascii="Times New Roman" w:hAnsi="Times New Roman" w:cs="Times New Roman" w:eastAsia="Times New Roman"/>
          <w:b w:val="false"/>
          <w:sz w:val="26"/>
        </w:rPr>
        <w:t>+ Bước 2.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06 ngày làm việc kể từ ngày cơ quan quản lý thuế có thông báo bằng văn bản về việc chấp nhận hồ sơ và thời hạn giải quyết hồ sơ hoàn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06 ngày làm việc kể từ ngày cơ quan quản lý thuế có thông báo bằng văn bản về việc chấp nhận hồ sơ và thời hạn giải quyết hồ sơ hoàn thuế.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06 ngày làm việc kể từ ngày cơ quan quản lý thuế có thông báo bằng văn bản về việc chấp nhận hồ sơ và thời hạn giải quyết hồ sơ hoàn thuế.
Thông qua dịch vụ bưu chính công ích theo quy định của Thủ tướng Chính phủ, qua thuê dịch vụ của doanh nghiệp, cá nhân hoặc qua ủy quyền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người nộp thuế không trực tiếp thực hiện thủ tục hoàn thuế, trừ trường hợp đại lý thuế nộp hồ sơ hoàn thuế theo hợp đồng đã ký giữa đại lý thuế và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chứng từ nộp thuế mẫu số 02-1/HT theo Phụ lục II - Mẫu biểu hồ sơ khai thuế ban hành kèm theo Thông tư số 80/2021/TT-BTC ngày 29/9/2021 của Bộ Tài Chính.</w:t>
            </w:r>
          </w:p>
        </w:tc>
        <w:tc>
          <w:p/>
          <w:p>
            <w:pPr>
              <w:spacing w:after="0" w:before="0" w:lineRule="auto" w:line="276"/>
              <w:jc w:val="left"/>
            </w:pPr>
            <w:r>
              <w:rPr>
                <w:rFonts w:ascii="Times New Roman" w:hAnsi="Times New Roman" w:cs="Times New Roman" w:eastAsia="Times New Roman"/>
                <w:b w:val="false"/>
                <w:sz w:val="26"/>
              </w:rPr>
              <w:t>Mẫu 02.1.HT.doc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xử lý số tiền thuế, tiền chậm nộp, tiền phạt nộp thừa mẫu số 01/DNXLNT theo Phụ lục II - Mẫu biểu hồ sơ khai thuế ban hành kèm theo Thông tư số 80/2021/TT-BTC ngày 29/9/2021/TT-BTC của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Mau01.DNXLNT.docx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hoàn thuế kiêm bù trừ thu Ngân sách nhà nước, Thông báo về việc không được hoàn thuế (Mẫu số 02/TB-HT), Quyết định hoàn thuế (Mẫu số 01/QĐHT)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Hoàn thuế TNCN, đối với tổ chức, cá nhân, trả thu nhập, từ tiền lương, tiền công, thực hiện quyết toán, cho các cá nhân, có ủy quyền, quyết toán thuế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2026-05-19T13:07:02Z</dcterms:created>
  <dc:creator>Apache POI</dc:creator>
</cp:coreProperties>
</file>