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1.008538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1109/QĐ-BTC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Khai thuế thu nhập cá nhân đối với cá nhân có thu nhập từ nhận thừa kế, quà tặng là các tài sản khác phải đăng ký quyền sở hữu, không phải là bất động sản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Thuế</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Cá nhân thuộc diện khai thuế thu nhập cá nhân đối với cá nhân có thu nhập từ nhận thừa kế, quà tặng (trừ bất động sản), chuẩn bị hồ sơ khai thuế và gửi đến cơ quan thuế. Thời hạn nộp hồ sơ khai thuế chậm nhất là ngày thứ 10 kể từ ngày phát sinh nghĩa vụ thuế.
Nơi nộp hồ sơ khai thuế như sau:
+ Cá nhân có thu nhập từ thừa kế, quà tặng là chứng khoán, phần vốn góp nộp hồ sơ khai thuế tại cơ quan thuế quản lý đơn vị phát hành Trường hợp có nhiều cơ quan thuế quản lý nhiều đơn vị phát hành thì nộp hồ sơ khai thuế tại cơ quan thuế nơi cá nhân nhận thừa kế, quà tặng cư trú.
+ Cá nhân có thu nhập từ nhận thừa kế, quà tặng là tài sản khác phải đăng ký quyền sở hữu, quyền sử dụng nộp hồ sơ khai thuế tại cơ quan thuế nơi nộp hồ sơ khai lệ phí trước bạ.
- Bước 2: Cơ quan thuế thực hiện tiếp nhận: 
+ Trường hợp hồ sơ được nộp trực tiếp tại cơ quan thuế hoặc hồ sơ được gửi qua đường bưu chính: cơ quan thuế thực hiện tiếp nhận, giải quyết hồ sơ theo quy định.
+ Trường hợp hồ sơ được nộp thông qua giao dịch điện tử, việc tiếp nhận, kiểm tra, chấp nhận, giải quyết hồ sơ (và trả kết quả nếu có kết quả) thông qua hệ thống xử lý dữ liệu điện tử của cơ quan thuế</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Trực tiếp: Tại TTPVHCC cấp tỉnh, xã</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Trực tuyến: Qua Cổng dịch vụ công quốc gia</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Thông qua dịch vụ bưu chính công ích theo quy định của Thủ tướng Chính phủ, qua thuê dịch vụ của doanh nghiệp, cá nhân hoặc qua ủy quyền theo quy định của pháp luật</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--Số lượng hồ sơ: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01  (bộ).</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thuế thu nhập cá nhân (áp dụng đối với cá nhân nhận thừa kế, quà tặng không phải là bất động sản) mẫu số 04/TKQT-TNCN theo Phụ lục I - Danh mục hồ sơ khai thuế ban hành kèm theo Nghị định số 126/2020/NĐ-CP ngày 19/10/2020 của Chính phủ và Phụ lục II - Mẫu biểu hồ sơ khai thuế ban hành kèm theo Thông tư số 80/2021/TT-BTC ngày 29/9/2021/TT-BTC của Bộ Tài chính</w:t>
            </w:r>
          </w:p>
        </w:tc>
        <w:tc>
          <w:p/>
          <w:p>
            <w:pPr>
              <w:spacing w:after="0" w:before="0" w:lineRule="auto" w:line="276"/>
              <w:jc w:val="left"/>
            </w:pPr>
            <w:r>
              <w:rPr>
                <w:rFonts w:ascii="Times New Roman" w:hAnsi="Times New Roman" w:cs="Times New Roman" w:eastAsia="Times New Roman"/>
                <w:b w:val="false"/>
                <w:sz w:val="26"/>
              </w:rPr>
              <w:t>04.TKQT-TNCN.doc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giấy tờ pháp lý chứng minh quyền nhận thừa kế, quà tặng và cá nhân ký cam kết chịu trách nhiệm vào bản sao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--Hồ sơ xác định đối tượng được miễn thuế thu nhập cá nhân, không phải nộp thuế thu nhập cá nhân, tạm thời chưa phải nộp thuế thu nhập cá nhân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Thuế cơ sở, Thuế tỉnh, thành phố</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Thuế tỉnh, thành phố/Thuế cơ sở</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nộp thuế của cơ quan thuế (Mẫu số 04/TB-TKQT-TNCN)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38/2019/QH14</w:t>
            </w:r>
          </w:p>
        </w:tc>
        <w:tc>
          <w:p/>
          <w:p>
            <w:pPr>
              <w:spacing w:after="0" w:before="0" w:lineRule="auto" w:line="276"/>
              <w:jc w:val="left"/>
            </w:pPr>
            <w:r>
              <w:rPr>
                <w:rFonts w:ascii="Times New Roman" w:hAnsi="Times New Roman" w:cs="Times New Roman" w:eastAsia="Times New Roman"/>
                <w:b w:val="false"/>
                <w:sz w:val="26"/>
              </w:rPr>
              <w:t>Luật 38/2019/QH14</w:t>
            </w:r>
          </w:p>
        </w:tc>
        <w:tc>
          <w:p/>
          <w:p>
            <w:pPr>
              <w:spacing w:after="0" w:before="0" w:lineRule="auto" w:line="276"/>
              <w:jc w:val="left"/>
            </w:pPr>
            <w:r>
              <w:rPr>
                <w:rFonts w:ascii="Times New Roman" w:hAnsi="Times New Roman" w:cs="Times New Roman" w:eastAsia="Times New Roman"/>
                <w:b w:val="false"/>
                <w:sz w:val="26"/>
              </w:rPr>
              <w:t>13-06-2019</w:t>
            </w:r>
          </w:p>
        </w:tc>
        <w:tc>
          <w:p/>
        </w:tc>
      </w:tr>
      <w:tr>
        <w:tc>
          <w:p/>
          <w:p>
            <w:pPr>
              <w:spacing w:after="0" w:before="0" w:lineRule="auto" w:line="276"/>
              <w:jc w:val="left"/>
            </w:pPr>
            <w:r>
              <w:rPr>
                <w:rFonts w:ascii="Times New Roman" w:hAnsi="Times New Roman" w:cs="Times New Roman" w:eastAsia="Times New Roman"/>
                <w:b w:val="false"/>
                <w:sz w:val="26"/>
              </w:rPr>
              <w:t>80/2021/TT-BTC</w:t>
            </w:r>
          </w:p>
        </w:tc>
        <w:tc>
          <w:p/>
          <w:p>
            <w:pPr>
              <w:spacing w:after="0" w:before="0" w:lineRule="auto" w:line="276"/>
              <w:jc w:val="left"/>
            </w:pPr>
            <w:r>
              <w:rPr>
                <w:rFonts w:ascii="Times New Roman" w:hAnsi="Times New Roman" w:cs="Times New Roman" w:eastAsia="Times New Roman"/>
                <w:b w:val="false"/>
                <w:sz w:val="26"/>
              </w:rPr>
              <w:t>Thông tư 80/2021/TT-BTC</w:t>
            </w:r>
          </w:p>
        </w:tc>
        <w:tc>
          <w:p/>
          <w:p>
            <w:pPr>
              <w:spacing w:after="0" w:before="0" w:lineRule="auto" w:line="276"/>
              <w:jc w:val="left"/>
            </w:pPr>
            <w:r>
              <w:rPr>
                <w:rFonts w:ascii="Times New Roman" w:hAnsi="Times New Roman" w:cs="Times New Roman" w:eastAsia="Times New Roman"/>
                <w:b w:val="false"/>
                <w:sz w:val="26"/>
              </w:rPr>
              <w:t>29-09-2021</w:t>
            </w:r>
          </w:p>
        </w:tc>
        <w:tc>
          <w:p/>
        </w:tc>
      </w:tr>
      <w:tr>
        <w:tc>
          <w:p/>
          <w:p>
            <w:pPr>
              <w:spacing w:after="0" w:before="0" w:lineRule="auto" w:line="276"/>
              <w:jc w:val="left"/>
            </w:pPr>
            <w:r>
              <w:rPr>
                <w:rFonts w:ascii="Times New Roman" w:hAnsi="Times New Roman" w:cs="Times New Roman" w:eastAsia="Times New Roman"/>
                <w:b w:val="false"/>
                <w:sz w:val="26"/>
              </w:rPr>
              <w:t>126/2020/NĐ-CP</w:t>
            </w:r>
          </w:p>
        </w:tc>
        <w:tc>
          <w:p/>
          <w:p>
            <w:pPr>
              <w:spacing w:after="0" w:before="0" w:lineRule="auto" w:line="276"/>
              <w:jc w:val="left"/>
            </w:pPr>
            <w:r>
              <w:rPr>
                <w:rFonts w:ascii="Times New Roman" w:hAnsi="Times New Roman" w:cs="Times New Roman" w:eastAsia="Times New Roman"/>
                <w:b w:val="false"/>
                <w:sz w:val="26"/>
              </w:rPr>
              <w:t>Nghị định 126/2020/NĐ-CP</w:t>
            </w:r>
          </w:p>
        </w:tc>
        <w:tc>
          <w:p/>
          <w:p>
            <w:pPr>
              <w:spacing w:after="0" w:before="0" w:lineRule="auto" w:line="276"/>
              <w:jc w:val="left"/>
            </w:pPr>
            <w:r>
              <w:rPr>
                <w:rFonts w:ascii="Times New Roman" w:hAnsi="Times New Roman" w:cs="Times New Roman" w:eastAsia="Times New Roman"/>
                <w:b w:val="false"/>
                <w:sz w:val="26"/>
              </w:rPr>
              <w:t>19-10-2020</w:t>
            </w:r>
          </w:p>
        </w:tc>
        <w:tc>
          <w:p/>
        </w:tc>
      </w:tr>
      <w:tr>
        <w:tc>
          <w:p/>
          <w:p>
            <w:pPr>
              <w:spacing w:after="0" w:before="0" w:lineRule="auto" w:line="276"/>
              <w:jc w:val="left"/>
            </w:pPr>
            <w:r>
              <w:rPr>
                <w:rFonts w:ascii="Times New Roman" w:hAnsi="Times New Roman" w:cs="Times New Roman" w:eastAsia="Times New Roman"/>
                <w:b w:val="false"/>
                <w:sz w:val="26"/>
              </w:rPr>
              <w:t>19/2021/TT-BTC</w:t>
            </w:r>
          </w:p>
        </w:tc>
        <w:tc>
          <w:p/>
          <w:p>
            <w:pPr>
              <w:spacing w:after="0" w:before="0" w:lineRule="auto" w:line="276"/>
              <w:jc w:val="left"/>
            </w:pPr>
            <w:r>
              <w:rPr>
                <w:rFonts w:ascii="Times New Roman" w:hAnsi="Times New Roman" w:cs="Times New Roman" w:eastAsia="Times New Roman"/>
                <w:b w:val="false"/>
                <w:sz w:val="26"/>
              </w:rPr>
              <w:t>Thông tư 19/2021/TT-BTC</w:t>
            </w:r>
          </w:p>
        </w:tc>
        <w:tc>
          <w:p/>
          <w:p>
            <w:pPr>
              <w:spacing w:after="0" w:before="0" w:lineRule="auto" w:line="276"/>
              <w:jc w:val="left"/>
            </w:pPr>
            <w:r>
              <w:rPr>
                <w:rFonts w:ascii="Times New Roman" w:hAnsi="Times New Roman" w:cs="Times New Roman" w:eastAsia="Times New Roman"/>
                <w:b w:val="false"/>
                <w:sz w:val="26"/>
              </w:rPr>
              <w:t>18-03-2021</w:t>
            </w:r>
          </w:p>
        </w:tc>
        <w:tc>
          <w:p/>
        </w:tc>
      </w:tr>
      <w:tr>
        <w:tc>
          <w:p/>
          <w:p>
            <w:pPr>
              <w:spacing w:after="0" w:before="0" w:lineRule="auto" w:line="276"/>
              <w:jc w:val="left"/>
            </w:pPr>
            <w:r>
              <w:rPr>
                <w:rFonts w:ascii="Times New Roman" w:hAnsi="Times New Roman" w:cs="Times New Roman" w:eastAsia="Times New Roman"/>
                <w:b w:val="false"/>
                <w:sz w:val="26"/>
              </w:rPr>
              <w:t>TT43/2023/TT-BTC</w:t>
            </w:r>
          </w:p>
        </w:tc>
        <w:tc>
          <w:p/>
          <w:p>
            <w:pPr>
              <w:spacing w:after="0" w:before="0" w:lineRule="auto" w:line="276"/>
              <w:jc w:val="left"/>
            </w:pPr>
            <w:r>
              <w:rPr>
                <w:rFonts w:ascii="Times New Roman" w:hAnsi="Times New Roman" w:cs="Times New Roman" w:eastAsia="Times New Roman"/>
                <w:b w:val="false"/>
                <w:sz w:val="26"/>
              </w:rPr>
              <w:t>Thông tư số 43/2023/TT-BTC ngày 27/6/2023 của Bộ trưởng Bộ Tài chính sửa đổi, bổ sung một số điều của các Thông tư có quy định liên quan đến việc nộp, xuất trình và khai thông tin về đăng ký sổ hộ khẩu, sổ tạm trú hoặc giấy tờ có yêu cầu xác nhận của địa phương nơi cư trú khi thực hiện các chính sách hoặc thủ tục hành chính thuộc lĩnh vực quản lý nhà nước của Bộ Tài chính.</w:t>
            </w:r>
          </w:p>
        </w:tc>
        <w:tc>
          <w:p/>
          <w:p>
            <w:pPr>
              <w:spacing w:after="0" w:before="0" w:lineRule="auto" w:line="276"/>
              <w:jc w:val="left"/>
            </w:pPr>
            <w:r>
              <w:rPr>
                <w:rFonts w:ascii="Times New Roman" w:hAnsi="Times New Roman" w:cs="Times New Roman" w:eastAsia="Times New Roman"/>
                <w:b w:val="false"/>
                <w:sz w:val="26"/>
              </w:rPr>
              <w:t>27-06-2023</w:t>
            </w:r>
          </w:p>
        </w:tc>
        <w:tc>
          <w:p/>
        </w:tc>
      </w:tr>
      <w:tr>
        <w:tc>
          <w:p/>
          <w:p>
            <w:pPr>
              <w:spacing w:after="0" w:before="0" w:lineRule="auto" w:line="276"/>
              <w:jc w:val="left"/>
            </w:pPr>
            <w:r>
              <w:rPr>
                <w:rFonts w:ascii="Times New Roman" w:hAnsi="Times New Roman" w:cs="Times New Roman" w:eastAsia="Times New Roman"/>
                <w:b w:val="false"/>
                <w:sz w:val="26"/>
              </w:rPr>
              <w:t>46/2024/TT-BTC</w:t>
            </w:r>
          </w:p>
        </w:tc>
        <w:tc>
          <w:p/>
          <w:p>
            <w:pPr>
              <w:spacing w:after="0" w:before="0" w:lineRule="auto" w:line="276"/>
              <w:jc w:val="left"/>
            </w:pPr>
            <w:r>
              <w:rPr>
                <w:rFonts w:ascii="Times New Roman" w:hAnsi="Times New Roman" w:cs="Times New Roman" w:eastAsia="Times New Roman"/>
                <w:b w:val="false"/>
                <w:sz w:val="26"/>
              </w:rPr>
              <w:t>sửa đổi một số điều của Thông tư 19/2021/TT-BTC ngày 18/3/2021 của Bộ trưởng Bộ Tài chính hướng dẫn giao dịch điện tử trong lĩnh vực thuế</w:t>
            </w:r>
          </w:p>
        </w:tc>
        <w:tc>
          <w:p/>
          <w:p>
            <w:pPr>
              <w:spacing w:after="0" w:before="0" w:lineRule="auto" w:line="276"/>
              <w:jc w:val="left"/>
            </w:pPr>
            <w:r>
              <w:rPr>
                <w:rFonts w:ascii="Times New Roman" w:hAnsi="Times New Roman" w:cs="Times New Roman" w:eastAsia="Times New Roman"/>
                <w:b w:val="false"/>
                <w:sz w:val="26"/>
              </w:rPr>
              <w:t>09-07-2024</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118/2025/NĐ-CP</w:t>
            </w:r>
          </w:p>
        </w:tc>
        <w:tc>
          <w:p/>
          <w:p>
            <w:pPr>
              <w:spacing w:after="0" w:before="0" w:lineRule="auto" w:line="276"/>
              <w:jc w:val="left"/>
            </w:pPr>
            <w:r>
              <w:rPr>
                <w:rFonts w:ascii="Times New Roman" w:hAnsi="Times New Roman" w:cs="Times New Roman" w:eastAsia="Times New Roman"/>
                <w:b w:val="false"/>
                <w:sz w:val="26"/>
              </w:rPr>
              <w:t>Nghị định số 118/2025/NĐ-CP của Chính phủ: Về thực hiện thủ tục hành chính theo cơ chế một cửa, một cửa liên thông tại Bộ phận Một cửa và Cổng Dịch vụ công quốc gia</w:t>
            </w:r>
          </w:p>
        </w:tc>
        <w:tc>
          <w:p/>
          <w:p>
            <w:pPr>
              <w:spacing w:after="0" w:before="0" w:lineRule="auto" w:line="276"/>
              <w:jc w:val="left"/>
            </w:pPr>
            <w:r>
              <w:rPr>
                <w:rFonts w:ascii="Times New Roman" w:hAnsi="Times New Roman" w:cs="Times New Roman" w:eastAsia="Times New Roman"/>
                <w:b w:val="false"/>
                <w:sz w:val="26"/>
              </w:rPr>
              <w:t>09-06-2025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193/2025/NĐ-CP</w:t>
            </w:r>
          </w:p>
        </w:tc>
        <w:tc>
          <w:p/>
          <w:p>
            <w:pPr>
              <w:spacing w:after="0" w:before="0" w:lineRule="auto" w:line="276"/>
              <w:jc w:val="left"/>
            </w:pPr>
            <w:r>
              <w:rPr>
                <w:rFonts w:ascii="Times New Roman" w:hAnsi="Times New Roman" w:cs="Times New Roman" w:eastAsia="Times New Roman"/>
                <w:b w:val="false"/>
                <w:sz w:val="26"/>
              </w:rPr>
              <w:t>193/2025/NĐ-CP</w:t>
            </w:r>
          </w:p>
        </w:tc>
        <w:tc>
          <w:p/>
          <w:p>
            <w:pPr>
              <w:spacing w:after="0" w:before="0" w:lineRule="auto" w:line="276"/>
              <w:jc w:val="left"/>
            </w:pPr>
            <w:r>
              <w:rPr>
                <w:rFonts w:ascii="Times New Roman" w:hAnsi="Times New Roman" w:cs="Times New Roman" w:eastAsia="Times New Roman"/>
                <w:b w:val="false"/>
                <w:sz w:val="26"/>
              </w:rPr>
              <w:t>02-07-2025</w:t>
            </w:r>
          </w:p>
        </w:tc>
        <w:tc>
          <w:p/>
        </w:tc>
      </w:tr>
      <w:tr>
        <w:tc>
          <w:p/>
          <w:p>
            <w:pPr>
              <w:spacing w:after="0" w:before="0" w:lineRule="auto" w:line="276"/>
              <w:jc w:val="left"/>
            </w:pPr>
            <w:r>
              <w:rPr>
                <w:rFonts w:ascii="Times New Roman" w:hAnsi="Times New Roman" w:cs="Times New Roman" w:eastAsia="Times New Roman"/>
                <w:b w:val="false"/>
                <w:sz w:val="26"/>
              </w:rPr>
              <w:t>40/2025/TT-BTC</w:t>
            </w:r>
          </w:p>
        </w:tc>
        <w:tc>
          <w:p/>
          <w:p>
            <w:pPr>
              <w:spacing w:after="0" w:before="0" w:lineRule="auto" w:line="276"/>
              <w:jc w:val="left"/>
            </w:pPr>
            <w:r>
              <w:rPr>
                <w:rFonts w:ascii="Times New Roman" w:hAnsi="Times New Roman" w:cs="Times New Roman" w:eastAsia="Times New Roman"/>
                <w:b w:val="false"/>
                <w:sz w:val="26"/>
              </w:rPr>
              <w:t>Thông tư số 40/2025/TT-BTC Sửa đổi, bổ sung một số điều của các Thông tư thuộc lĩnh vực quản lý thuế để phân định thẩm quyền của chính quyền địa phương theo mô hình tổ chức chính quyền địa phương 02 cấp</w:t>
            </w:r>
          </w:p>
        </w:tc>
        <w:tc>
          <w:p/>
          <w:p>
            <w:pPr>
              <w:spacing w:after="0" w:before="0" w:lineRule="auto" w:line="276"/>
              <w:jc w:val="left"/>
            </w:pPr>
            <w:r>
              <w:rPr>
                <w:rFonts w:ascii="Times New Roman" w:hAnsi="Times New Roman" w:cs="Times New Roman" w:eastAsia="Times New Roman"/>
                <w:b w:val="false"/>
                <w:sz w:val="26"/>
              </w:rPr>
              <w:t>13-06-2025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91/2022/NĐ-CP</w:t>
            </w:r>
          </w:p>
        </w:tc>
        <w:tc>
          <w:p/>
          <w:p>
            <w:pPr>
              <w:spacing w:after="0" w:before="0" w:lineRule="auto" w:line="276"/>
              <w:jc w:val="left"/>
            </w:pPr>
            <w:r>
              <w:rPr>
                <w:rFonts w:ascii="Times New Roman" w:hAnsi="Times New Roman" w:cs="Times New Roman" w:eastAsia="Times New Roman"/>
                <w:b w:val="false"/>
                <w:sz w:val="26"/>
              </w:rPr>
              <w:t>Nghị định số 91/2022/NĐ-CP sửa đổi bổ sung một số điều của Nghị định số 126/2020/NĐ-CP ngày 19/10/2020 của Chính phủ quy định chi tiết một số điều của Luật Quản lý thuế</w:t>
            </w:r>
          </w:p>
        </w:tc>
        <w:tc>
          <w:p/>
          <w:p>
            <w:pPr>
              <w:spacing w:after="0" w:before="0" w:lineRule="auto" w:line="276"/>
              <w:jc w:val="left"/>
            </w:pPr>
            <w:r>
              <w:rPr>
                <w:rFonts w:ascii="Times New Roman" w:hAnsi="Times New Roman" w:cs="Times New Roman" w:eastAsia="Times New Roman"/>
                <w:b w:val="false"/>
                <w:sz w:val="26"/>
              </w:rPr>
              <w:t>30-10-2022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122/2025/NĐ-CP</w:t>
            </w:r>
          </w:p>
        </w:tc>
        <w:tc>
          <w:p/>
          <w:p>
            <w:pPr>
              <w:spacing w:after="0" w:before="0" w:lineRule="auto" w:line="276"/>
              <w:jc w:val="left"/>
            </w:pPr>
            <w:r>
              <w:rPr>
                <w:rFonts w:ascii="Times New Roman" w:hAnsi="Times New Roman" w:cs="Times New Roman" w:eastAsia="Times New Roman"/>
                <w:b w:val="false"/>
                <w:sz w:val="26"/>
              </w:rPr>
              <w:t>Nghị định số 122/2025/NĐ-CP của Chính phủ: Quy định về phân quyền, phân cấp trong lĩnh vực quản lý thuế</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125/2025/NĐ-CP</w:t>
            </w:r>
          </w:p>
        </w:tc>
        <w:tc>
          <w:p/>
          <w:p>
            <w:pPr>
              <w:spacing w:after="0" w:before="0" w:lineRule="auto" w:line="276"/>
              <w:jc w:val="left"/>
            </w:pPr>
            <w:r>
              <w:rPr>
                <w:rFonts w:ascii="Times New Roman" w:hAnsi="Times New Roman" w:cs="Times New Roman" w:eastAsia="Times New Roman"/>
                <w:b w:val="false"/>
                <w:sz w:val="26"/>
              </w:rPr>
              <w:t>Nghị định số 125/2025/NĐ-CP của Chính phủ: Quy định về phân định thẩm quyền của chính quyền địa phương 02 cấp trong lĩnh vực quản lý nhà nước của Bộ Tài chính</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94/2025/TT-BTC</w:t>
            </w:r>
          </w:p>
        </w:tc>
        <w:tc>
          <w:p/>
          <w:p>
            <w:pPr>
              <w:spacing w:after="0" w:before="0" w:lineRule="auto" w:line="276"/>
              <w:jc w:val="left"/>
            </w:pPr>
            <w:r>
              <w:rPr>
                <w:rFonts w:ascii="Times New Roman" w:hAnsi="Times New Roman" w:cs="Times New Roman" w:eastAsia="Times New Roman"/>
                <w:b w:val="false"/>
                <w:sz w:val="26"/>
              </w:rPr>
              <w:t>Thông tư sửa đổi, bổ sung một số điều của Thông tư số 80/2021/TT-BTC ngày 29 tháng 9 năm 2021 của Bộ Tài chính hướng dẫn thi hành một số điều của Luật Quản lý thuế và Nghị định số 126/2020/NĐ-CP ngày 19 tháng 10 năm 2020 của Chính phủ quy định chi tiết một số điều của Luật Quản lý thuế và sửa đổi, bổ sung một số mẫu biểu của Thông tư số 40/2021/TT-BTC ngày 01 tháng 6 năm 2021 của Bộ Tài chính hướng dẫn thuế giá trị gia tăng, thuế thu nhập cá nhân và quản lý thuế đối với hộ kinh doanh, cá nhân kinh doanh</w:t>
            </w:r>
          </w:p>
        </w:tc>
        <w:tc>
          <w:p/>
          <w:p>
            <w:pPr>
              <w:spacing w:after="0" w:before="0" w:lineRule="auto" w:line="276"/>
              <w:jc w:val="left"/>
            </w:pPr>
            <w:r>
              <w:rPr>
                <w:rFonts w:ascii="Times New Roman" w:hAnsi="Times New Roman" w:cs="Times New Roman" w:eastAsia="Times New Roman"/>
                <w:b w:val="false"/>
                <w:sz w:val="26"/>
              </w:rPr>
              <w:t>14-10-2025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66.16/2026/NQ-CP</w:t>
            </w:r>
          </w:p>
        </w:tc>
        <w:tc>
          <w:p/>
          <w:p>
            <w:pPr>
              <w:spacing w:after="0" w:before="0" w:lineRule="auto" w:line="276"/>
              <w:jc w:val="left"/>
            </w:pPr>
            <w:r>
              <w:rPr>
                <w:rFonts w:ascii="Times New Roman" w:hAnsi="Times New Roman" w:cs="Times New Roman" w:eastAsia="Times New Roman"/>
                <w:b w:val="false"/>
                <w:sz w:val="26"/>
              </w:rPr>
              <w:t>Nghị quyết số 66.16/2026/NQ-CP ngày 07/4/2026 của Chính phủ về Cắt giảm, đơn giản hóa thủ tục hành chính, quy định liên quan đến hoạt động sản xuất, kinh doanh.</w:t>
            </w:r>
          </w:p>
        </w:tc>
        <w:tc>
          <w:p/>
          <w:p>
            <w:pPr>
              <w:spacing w:after="0" w:before="0" w:lineRule="auto" w:line="276"/>
              <w:jc w:val="left"/>
            </w:pPr>
            <w:r>
              <w:rPr>
                <w:rFonts w:ascii="Times New Roman" w:hAnsi="Times New Roman" w:cs="Times New Roman" w:eastAsia="Times New Roman"/>
                <w:b w:val="false"/>
                <w:sz w:val="26"/>
              </w:rPr>
              <w:t>07-04-2026</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Trường hợp người nộp thuế lựa chọn và gửi hồ sơ đến cơ quan thuế thông qua giao dịch điện tử thì phải tuân thủ đúng, đầy đủ các quy định và điều kiện thực hiện giao dịch điện tử trong lĩnh vực thuế tại Thông tư số 19/2021/TT-BTC ngày 18/3/2021 của Bộ trưởng Bộ Tài chính hướng dẫn giao dịch điện tử trong lĩnh vực thuế, Thông tư số 46/2024/TT-BTC ngày 09 tháng 7 năm 2024 của Bộ Tài chính sửa đổi, bổ sung một số điều của thông tư số 19/2021/TT-BTC ngày 18/3/2021 của Bộ Tài chính hướng dẫn giao dịch điện tử trong lĩnh vực thuế.</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2026-05-20T05:04:50Z</dcterms:created>
  <dc:creator>Apache POI</dc:creator>
</cp:coreProperties>
</file>