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điều chỉnh, chấm dứt việc bán hàng hoàn thuế giá trị gia tăng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điều chỉnh việc bán hàng hoàn thuế:</w:t>
      </w:r>
    </w:p>
    <w:p>
      <w:pPr>
        <w:spacing w:after="0" w:before="0" w:lineRule="auto" w:line="276"/>
        <w:jc w:val="both"/>
      </w:pPr>
      <w:r>
        <w:rPr>
          <w:rFonts w:ascii="Times New Roman" w:hAnsi="Times New Roman" w:cs="Times New Roman" w:eastAsia="Times New Roman"/>
          <w:b w:val="false"/>
          <w:sz w:val="26"/>
        </w:rPr>
        <w:t>+ Doanh nghiệp gửi hồ sơ đến cơ quan thuế quản lý trực tiếp.</w:t>
      </w:r>
    </w:p>
    <w:p>
      <w:pPr>
        <w:spacing w:after="0" w:before="0" w:lineRule="auto" w:line="276"/>
        <w:jc w:val="both"/>
      </w:pPr>
      <w:r>
        <w:rPr>
          <w:rFonts w:ascii="Times New Roman" w:hAnsi="Times New Roman" w:cs="Times New Roman" w:eastAsia="Times New Roman"/>
          <w:b w:val="false"/>
          <w:sz w:val="26"/>
        </w:rPr>
        <w:t>+ Thủ tục thực hiện như quy định tại khoản 3 Điều 13 Thông tư 72/2014/TT-BTC ngày 30/5/2014 của Bộ Tài chính và Khoản 9, Khoản 10 Điều 1 Thông tư số 92/2019/TT-BTC ngày 31/12/2019 của Bộ Tài chính.</w:t>
      </w:r>
    </w:p>
    <w:p>
      <w:pPr>
        <w:shd w:val="clear" w:color="auto" w:fill="F2F6F9"/>
        <w:spacing w:after="0" w:before="120" w:lineRule="auto" w:line="276"/>
        <w:jc w:val="both"/>
      </w:pPr>
      <w:r>
        <w:rPr>
          <w:rFonts w:ascii="Times New Roman" w:hAnsi="Times New Roman" w:cs="Times New Roman" w:eastAsia="Times New Roman"/>
          <w:b w:val="true"/>
          <w:sz w:val="26"/>
        </w:rPr>
        <w:t>-Trường hợp chấm dứt việc bán hàng hoàn thuế:</w:t>
      </w:r>
    </w:p>
    <w:p>
      <w:pPr>
        <w:spacing w:after="0" w:before="0" w:lineRule="auto" w:line="276"/>
        <w:jc w:val="both"/>
      </w:pPr>
      <w:r>
        <w:rPr>
          <w:rFonts w:ascii="Times New Roman" w:hAnsi="Times New Roman" w:cs="Times New Roman" w:eastAsia="Times New Roman"/>
          <w:b w:val="false"/>
          <w:sz w:val="26"/>
        </w:rPr>
        <w:t>+ Chậm nhất là 30 ngày trước ngày chấm dứt việc bán hàng hoàn thuế, doanh nghiệp gửi công văn thông báo chấm dứt việc bán hàng hoàn thuế giá trị gia tăng cho người nước ngoài đến cơ quan thuế quản lý trực tiếp;</w:t>
      </w:r>
    </w:p>
    <w:p>
      <w:pPr>
        <w:spacing w:after="0" w:before="0" w:lineRule="auto" w:line="276"/>
        <w:jc w:val="both"/>
      </w:pPr>
      <w:r>
        <w:rPr>
          <w:rFonts w:ascii="Times New Roman" w:hAnsi="Times New Roman" w:cs="Times New Roman" w:eastAsia="Times New Roman"/>
          <w:b w:val="false"/>
          <w:sz w:val="26"/>
        </w:rPr>
        <w:t>+ Trong vòng 30 (ba mươi) ngày kể từ ngày nhận được công văn của doanh nghiệp, cơ quan thuế quản lý trực tiếp kiểm tra, có văn bản báo cáo Thuế tỉnh, thành phố trực thuộc Trung ương nơi doanh nghiệp đóng trụ sở chính để Thuế tỉnh, thành phố trực thuộc Trung ương có văn bản gửi doanh nghiệp, cơ quan hải quan, ngân hàng thương mại thông báo về việc chấm dứt bán hàng hoàn thuế  đối với doanh nghiệp.</w:t>
      </w:r>
    </w:p>
    <w:p>
      <w:pPr>
        <w:spacing w:after="0" w:before="0" w:lineRule="auto" w:line="276"/>
        <w:jc w:val="both"/>
      </w:pPr>
      <w:r>
        <w:rPr>
          <w:rFonts w:ascii="Times New Roman" w:hAnsi="Times New Roman" w:cs="Times New Roman" w:eastAsia="Times New Roman"/>
          <w:b w:val="false"/>
          <w:sz w:val="26"/>
        </w:rPr>
        <w:t>+ Doanh nghiệp tháo bỏ Biển thông báo doanh nghiệp bán hàng hoàn thuế giá trị gia tăng cho người nước ngoài đã dán tại cửa hàng khi chấm dứt bán hàng hoàn thuế.</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doanh nghiệp vi phạm các quy định về việc hoàn thuế giá trị gia tăng, tùy hành vi và mức độ vi phạm, Cục Thuế tỉnh, thành phố trực thuộc Trung ương xử lý theo quy định. Trường hợp doanh nghiệp bị lập biên bản đến lần thứ hai về hành vi không lập hóa đơn kiêm tờ khai hoàn thuế theo mẫu ban hành kèm theo Phụ lục 3 Thông tư này hoặc lập hóa đơn kiêm tờ khai hoàn thuế nhưng không truyền đến Hệ thống, ngoài việc xử lý vi phạm hành chính (nếu có), Cục Thuế tỉnh, thành phố trực thuộc Trung ương xem xét, quyết định chấm dứt việc bán hàng hoàn thuế, truyền thông tin đến Hệ thống theo phương thức điện tử, đồng thời đăng trên trang thông tin điện tử của Cục Thuế và Tổng cục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thủ tục lựa chọn doanh nghiệp, điều chỉnh việc bán hàng hoàn thuế
	+ Nếu hồ sơ chưa đầy đủ, trong thời hạn ba (03) ngày làm Việc, kể từ ngày tiếp nhận hồ sơ có văn bản thông báo cho doanh nghiệp bổ sung hồ sơ;
	+ Nếu hồ sơ không đáp ứng điều kiện quy định, trong thời hạn 07 (bảy) ngày làm việc, kể từ ngày nhận đủ hồ sơ có văn bản trả lời cho doanh nghiệp;
	+ Nếu hồ sơ đầy đủ, đáp ứng các điều kiện quy định, trong thời hạn 07 (bảy) ngày làm việc kể từ ngày nhận đủ hồ sơ theo quy định, Cục Thuế tỉnh, thành phố trực thuộc Trung ương nơi doanh nghiệp đóng trụ sở chính có văn bản công nhận theo mẫu ban hành kèm theo Phụ lục 2 Thông tư này và gửi cho doanh nghiệp (đối với trường hợp cơ quan thuế quản lý trực tiếp doanh nghiệp là Cục Thuế tỉnh, thành phố trực thuộc Trung ương) hoặc Chi cục thuế gửi hồ sơ đề nghị Cục Thuế tỉnh, thành phố trực thuộc Trung ương nơi doanh nghiệp đóng trụ sở chính có văn bản công nhận doanh nghiệp bán hàng hoàn thuế giá trị gia tăng (đối với trường hợp cơ quan thuế quản lý trực tiếp doanh nghiệp là Chi cục thuế). Trong thời hạn 05 ngày làm việc kể từ ngày nhận được đề nghị của Chi cục thuế, Cục Thuế tỉnh, thành phố trực thuộc Trung ương nơi doanh nghiệp đóng trụ sở chính có văn bản công nhận theo mẫu ban hành kèm theo Phụ lục 2 Thông tư số 92/2019/TT-BTC ngày 31/12/2019 của Bộ trưởng Bộ Tài chính và gửi cho doanh nghiệp.”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việc bán hàng hoàn thuế GTGT
++ Trong vòng 30 (ba mươi) ngày kể từ ngày nhận được công văn của doanh nghiệp, cơ quan thuế quản lý trực tiếp kiểm tra, có văn bản báo cáo Thuế tỉnh/TP tỉnh, thành phố trực thuộc Trung ương nơi doanh nghiệp đóng trụ sở chính để Thuế tỉnh/TP tỉnh, thành phố trực thuộc Trung ương có văn bản gửi doanh nghiệp, cơ quan hải quan, ngân hàng thương mại thông báo về việc chấm dứt bán hàng hoàn thuế  đối với doanh nghiệp.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thủ tục lựa chọn doanh nghiệp, điều chỉnh việc bán hàng hoàn thuế
	+ Nếu hồ sơ chưa đầy đủ, trong thời hạn ba (03) ngày làm Việc, kể từ ngày tiếp nhận hồ sơ có văn bản thông báo cho doanh nghiệp bổ sung hồ sơ;
	+ Nếu hồ sơ không đáp ứng điều kiện quy định, trong thời hạn 07 (bảy) ngày làm việc, kể từ ngày nhận đủ hồ sơ có văn bản trả lời cho doanh nghiệp;
	+ Nếu hồ sơ đầy đủ, đáp ứng các điều kiện quy định, trong thời hạn 07 (bảy) ngày làm việc kể từ ngày nhận đủ hồ sơ theo quy định, Cục Thuế tỉnh, thành phố trực thuộc Trung ương nơi doanh nghiệp đóng trụ sở chính có văn bản công nhận theo mẫu ban hành kèm theo Phụ lục 2 Thông tư này và gửi cho doanh nghiệp (đối với trường hợp cơ quan thuế quản lý trực tiếp doanh nghiệp là Cục Thuế tỉnh, thành phố trực thuộc Trung ương) hoặc Chi cục thuế gửi hồ sơ đề nghị Cục Thuế tỉnh, thành phố trực thuộc Trung ương nơi doanh nghiệp đóng trụ sở chính có văn bản công nhận doanh nghiệp bán hàng hoàn thuế giá trị gia tăng (đối với trường hợp cơ quan thuế quản lý trực tiếp doanh nghiệp là Chi cục thuế). Trong thời hạn 05 ngày làm việc kể từ ngày nhận được đề nghị của Chi cục thuế, Cục Thuế tỉnh, thành phố trực thuộc Trung ương nơi doanh nghiệp đóng trụ sở chính có văn bản công nhận theo mẫu ban hành kèm theo Phụ lục 2 Thông tư số 92/2019/TT-BTC ngày 31/12/2019 của Bộ trưởng Bộ Tài chính và gửi cho doanh nghiệp.”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việc bán hàng hoàn thuế GTGT
++ Trong vòng 30 (ba mươi) ngày kể từ ngày nhận được công văn của doanh nghiệp, cơ quan thuế quản lý trực tiếp kiểm tra, có văn bản báo cáo Thuế tỉnh/TP tỉnh, thành phố trực thuộc Trung ương nơi doanh nghiệp đóng trụ sở chính để Thuế tỉnh/TP tỉnh, thành phố trực thuộc Trung ương có văn bản gửi doanh nghiệp, cơ quan hải quan, ngân hàng thương mại thông báo về việc chấm dứt bán hàng hoàn thuế  đối với doanh nghiệp.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thủ tục lựa chọn doanh nghiệp, điều chỉnh việc bán hàng hoàn thuế
	+ Nếu hồ sơ chưa đầy đủ, trong thời hạn ba (03) ngày làm Việc, kể từ ngày tiếp nhận hồ sơ có văn bản thông báo cho doanh nghiệp bổ sung hồ sơ;
	+ Nếu hồ sơ không đáp ứng điều kiện quy định, trong thời hạn 07 (bảy) ngày làm việc, kể từ ngày nhận đủ hồ sơ có văn bản trả lời cho doanh nghiệp;
	+ Nếu hồ sơ đầy đủ, đáp ứng các điều kiện quy định, trong thời hạn 07 (bảy) ngày làm việc kể từ ngày nhận đủ hồ sơ theo quy định, Cục Thuế tỉnh, thành phố trực thuộc Trung ương nơi doanh nghiệp đóng trụ sở chính có văn bản công nhận theo mẫu ban hành kèm theo Phụ lục 2 Thông tư này và gửi cho doanh nghiệp (đối với trường hợp cơ quan thuế quản lý trực tiếp doanh nghiệp là Cục Thuế tỉnh, thành phố trực thuộc Trung ương) hoặc Chi cục thuế gửi hồ sơ đề nghị Cục Thuế tỉnh, thành phố trực thuộc Trung ương nơi doanh nghiệp đóng trụ sở chính có văn bản công nhận doanh nghiệp bán hàng hoàn thuế giá trị gia tăng (đối với trường hợp cơ quan thuế quản lý trực tiếp doanh nghiệp là Chi cục thuế). Trong thời hạn 05 ngày làm việc kể từ ngày nhận được đề nghị của Chi cục thuế, Cục Thuế tỉnh, thành phố trực thuộc Trung ương nơi doanh nghiệp đóng trụ sở chính có văn bản công nhận theo mẫu ban hành kèm theo Phụ lục 2 Thông tư số 92/2019/TT-BTC ngày 31/12/2019 của Bộ trưởng Bộ Tài chính và gửi cho doanh nghiệp.”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việc bán hàng hoàn thuế GTGT
++ Trong vòng 30 (ba mươi) ngày kể từ ngày nhận được công văn của doanh nghiệp, cơ quan thuế quản lý trực tiếp kiểm tra, có văn bản báo cáo Thuế tỉnh/TP tỉnh, thành phố trực thuộc Trung ương nơi doanh nghiệp đóng trụ sở chính để Thuế tỉnh/TP tỉnh, thành phố trực thuộc Trung ương có văn bản gửi doanh nghiệp, cơ quan hải quan, ngân hàng thương mại thông báo về việc chấm dứt bán hàng hoàn thuế  đối với doanh nghiệp.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chấm dứt việc bán hàng hoàn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xin/yêu cầu chấm dứt vai trò doanh nghiệp bán hàng hoàn thuế giá trị gia tăng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điều chỉnh việc bán hàng hoàn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bán hàng đại lý ký giữa doanh nghiệp bán hàng hoàn thuế với cửa hàng nhận bán hàng đại lý cho doanh nghiệp (đối với trường hợp là cửa hàng đại lý bán hàng cho doanh nghiệp): 01 bản chụp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đăng ký điều chỉnh theo mẫu quy định tại Phụ lục 8 Thông tư 92/2019/TT-BTC</w:t>
            </w:r>
          </w:p>
        </w:tc>
        <w:tc>
          <w:p/>
          <w:p>
            <w:pPr>
              <w:spacing w:after="0" w:before="0" w:lineRule="auto" w:line="276"/>
              <w:jc w:val="left"/>
            </w:pPr>
            <w:r>
              <w:rPr>
                <w:rFonts w:ascii="Times New Roman" w:hAnsi="Times New Roman" w:cs="Times New Roman" w:eastAsia="Times New Roman"/>
                <w:b w:val="false"/>
                <w:sz w:val="26"/>
              </w:rPr>
              <w:t>Phlc8TT92.2019.docx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của cơ quan thuế chấp nhận việc điều chỉnh bán hàng hoàn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215/2013/NĐ-CP</w:t>
            </w:r>
          </w:p>
        </w:tc>
        <w:tc>
          <w:p/>
          <w:p>
            <w:pPr>
              <w:spacing w:after="0" w:before="0" w:lineRule="auto" w:line="276"/>
              <w:jc w:val="left"/>
            </w:pPr>
            <w:r>
              <w:rPr>
                <w:rFonts w:ascii="Times New Roman" w:hAnsi="Times New Roman" w:cs="Times New Roman" w:eastAsia="Times New Roman"/>
                <w:b w:val="false"/>
                <w:sz w:val="26"/>
              </w:rPr>
              <w:t>Nghị định 215/2013/NĐ-CP</w:t>
            </w:r>
          </w:p>
        </w:tc>
        <w:tc>
          <w:p/>
          <w:p>
            <w:pPr>
              <w:spacing w:after="0" w:before="0" w:lineRule="auto" w:line="276"/>
              <w:jc w:val="left"/>
            </w:pPr>
            <w:r>
              <w:rPr>
                <w:rFonts w:ascii="Times New Roman" w:hAnsi="Times New Roman" w:cs="Times New Roman" w:eastAsia="Times New Roman"/>
                <w:b w:val="false"/>
                <w:sz w:val="26"/>
              </w:rPr>
              <w:t>23-12-2013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219/2013/TT-BTC </w:t>
            </w:r>
          </w:p>
        </w:tc>
        <w:tc>
          <w:p/>
          <w:p>
            <w:pPr>
              <w:spacing w:after="0" w:before="0" w:lineRule="auto" w:line="276"/>
              <w:jc w:val="left"/>
            </w:pPr>
            <w:r>
              <w:rPr>
                <w:rFonts w:ascii="Times New Roman" w:hAnsi="Times New Roman" w:cs="Times New Roman" w:eastAsia="Times New Roman"/>
                <w:b w:val="false"/>
                <w:sz w:val="26"/>
              </w:rPr>
              <w:t>Hướng dẫn thi hành Luật Thuế giá trị gia tăng và Nghị định số 209/2013/NĐ-CP ngày 18/12/2013 của Chính phủ quy định chi tiết và hướng dẫn thi hành một số điều Luật Thuế giá trị gia tăng;</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w:t>
            </w:r>
          </w:p>
        </w:tc>
        <w:tc>
          <w:p/>
          <w:p>
            <w:pPr>
              <w:spacing w:after="0" w:before="0" w:lineRule="auto" w:line="276"/>
              <w:jc w:val="left"/>
            </w:pPr>
            <w:r>
              <w:rPr>
                <w:rFonts w:ascii="Times New Roman" w:hAnsi="Times New Roman" w:cs="Times New Roman" w:eastAsia="Times New Roman"/>
                <w:b w:val="false"/>
                <w:sz w:val="26"/>
              </w:rPr>
              <w:t>22-07-2013</w:t>
            </w:r>
          </w:p>
        </w:tc>
        <w:tc>
          <w:p/>
        </w:tc>
      </w:tr>
      <w:tr>
        <w:tc>
          <w:p/>
          <w:p>
            <w:pPr>
              <w:spacing w:after="0" w:before="0" w:lineRule="auto" w:line="276"/>
              <w:jc w:val="left"/>
            </w:pPr>
            <w:r>
              <w:rPr>
                <w:rFonts w:ascii="Times New Roman" w:hAnsi="Times New Roman" w:cs="Times New Roman" w:eastAsia="Times New Roman"/>
                <w:b w:val="false"/>
                <w:sz w:val="26"/>
              </w:rPr>
              <w:t>72/2014/TT-BTC</w:t>
            </w:r>
          </w:p>
        </w:tc>
        <w:tc>
          <w:p/>
          <w:p>
            <w:pPr>
              <w:spacing w:after="0" w:before="0" w:lineRule="auto" w:line="276"/>
              <w:jc w:val="left"/>
            </w:pPr>
            <w:r>
              <w:rPr>
                <w:rFonts w:ascii="Times New Roman" w:hAnsi="Times New Roman" w:cs="Times New Roman" w:eastAsia="Times New Roman"/>
                <w:b w:val="false"/>
                <w:sz w:val="26"/>
              </w:rPr>
              <w:t>Thông tư 72/2014/TT-BTC</w:t>
            </w:r>
          </w:p>
        </w:tc>
        <w:tc>
          <w:p/>
          <w:p>
            <w:pPr>
              <w:spacing w:after="0" w:before="0" w:lineRule="auto" w:line="276"/>
              <w:jc w:val="left"/>
            </w:pPr>
            <w:r>
              <w:rPr>
                <w:rFonts w:ascii="Times New Roman" w:hAnsi="Times New Roman" w:cs="Times New Roman" w:eastAsia="Times New Roman"/>
                <w:b w:val="false"/>
                <w:sz w:val="26"/>
              </w:rPr>
              <w:t>30-05-2014</w:t>
            </w:r>
          </w:p>
        </w:tc>
        <w:tc>
          <w:p/>
        </w:tc>
      </w:tr>
      <w:tr>
        <w:tc>
          <w:p/>
          <w:p>
            <w:pPr>
              <w:spacing w:after="0" w:before="0" w:lineRule="auto" w:line="276"/>
              <w:jc w:val="left"/>
            </w:pPr>
            <w:r>
              <w:rPr>
                <w:rFonts w:ascii="Times New Roman" w:hAnsi="Times New Roman" w:cs="Times New Roman" w:eastAsia="Times New Roman"/>
                <w:b w:val="false"/>
                <w:sz w:val="26"/>
              </w:rPr>
              <w:t>92/2019/TT-BTC</w:t>
            </w:r>
          </w:p>
        </w:tc>
        <w:tc>
          <w:p/>
          <w:p>
            <w:pPr>
              <w:spacing w:after="0" w:before="0" w:lineRule="auto" w:line="276"/>
              <w:jc w:val="left"/>
            </w:pPr>
            <w:r>
              <w:rPr>
                <w:rFonts w:ascii="Times New Roman" w:hAnsi="Times New Roman" w:cs="Times New Roman" w:eastAsia="Times New Roman"/>
                <w:b w:val="false"/>
                <w:sz w:val="26"/>
              </w:rPr>
              <w:t>Thông tư 92/2019/TT-BTC</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13/2008/QH12</w:t>
            </w:r>
          </w:p>
        </w:tc>
        <w:tc>
          <w:p/>
          <w:p>
            <w:pPr>
              <w:spacing w:after="0" w:before="0" w:lineRule="auto" w:line="276"/>
              <w:jc w:val="left"/>
            </w:pPr>
            <w:r>
              <w:rPr>
                <w:rFonts w:ascii="Times New Roman" w:hAnsi="Times New Roman" w:cs="Times New Roman" w:eastAsia="Times New Roman"/>
                <w:b w:val="false"/>
                <w:sz w:val="26"/>
              </w:rPr>
              <w:t>Luật 13/2008/QH12</w:t>
            </w:r>
          </w:p>
        </w:tc>
        <w:tc>
          <w:p/>
          <w:p>
            <w:pPr>
              <w:spacing w:after="0" w:before="0" w:lineRule="auto" w:line="276"/>
              <w:jc w:val="left"/>
            </w:pPr>
            <w:r>
              <w:rPr>
                <w:rFonts w:ascii="Times New Roman" w:hAnsi="Times New Roman" w:cs="Times New Roman" w:eastAsia="Times New Roman"/>
                <w:b w:val="false"/>
                <w:sz w:val="26"/>
              </w:rPr>
              <w:t>04-06-2008</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doanh nghiệp được công nhận là doanh nghiệp bán hàng hoàn thuế giá trị gia tăng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2026-05-26T18:45:19Z</dcterms:created>
  <dc:creator>Apache POI</dc:creator>
</cp:coreProperties>
</file>