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1.008574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Miễn thuế, giảm thuế theo Hiệp định thuế đối với cá nhân là đối tượng cư trú Việt Nam được hưởng các quy định miễn, giảm thuế đối với thu nhập quy định tại các Điều khoản thu nhập từ phục vụ Chính phủ, thu nhập của sinh viên, học sinh học nghề và thu nhập của giáo viên, giáo sư và người nghiên cứu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Cá nhân là đối tượng cư trú Việt Nam được hưởng các quy định miễn, giảm thuế đối với thu nhập quy định tại các Điều khoản thu nhập từ phục vụ Chính phủ, thu nhập của sinh viên, học sinh học nghề và thu nhập của giáo viên, giáo sư và người nghiên cứu chuẩn bị hồ sơ đề nghị miễn, giảm thuế theo Hiệp định thuế gửi đến Cơ quan thuế quản lý trực tiếp của Bên Việt Nam.
Trong thời hạn 15 (mười lăm) ngày trước khi thực hiện hợp đồng với các tổ chức, cá nhân Việt Nam, cá nhân nước ngoài gửi cho bên Việt Nam ký kết hợp đồng hoặc chi trả thu nhập Hồ sơ đề nghị miễn, giảm thuế theo Hiệp định thuế để nộp cho Cơ quan thuế quản lý trực tiếp của Bên Việt Nam cùng với hồ sơ khai thuế của lần khai thuế đầu tiên.
+ Bước 2. Cơ quan thuế tiếp nhận:
++ Trường hợp hồ sơ được nộp trực tiếp tại cơ quan thuế hoặc hồ sơ được gửi qua đường bưu chính: cơ quan thuế thực hiện tiếp nhận và giải quyết hồ sơ và trả kết quả theo quy định.
++ Trường hợp hồ sơ được nộp đến cơ quan thuế thông qua giao dịch điện tử, việc tiếp nhận, kiểm tra, chấp nhận, giải quyết hồ sơ thông qua hệ thống xử lý dữ liệu điện tử của cơ quan thuế.
++ Trong quá trình giải quyết hồ sơ miễn thuế, giảm thuế còn thiếu thông tin cần giải trình, bổ sung tài liệu thì cơ quan thuế gửi Thông báo giải trình, bổ sung thông tin, tài liệu theo mẫu số 01/TB-BSTT-NNT ban hành kèm theo Nghị định số 126/2020/NĐ-CP cho người nộp thuế để yêu cầu giải trình, bổ sung thông tin, tài liệu.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hoặc 40 ngày kể từ ngày nhận đủ hồ sơ (trường hợp cần kiểm tra thực tế để có đủ căn cứ giải quyết hồ sơ miễn thuế, giảm thuế), cơ quan thuế tiếp nhận hồ sơ ban hành thông báo về việc người nộp thuế thuộc hoặc không thuộc đối tượng miễn thuế theo Hiệp định thuế hoặc Điều ước quốc tế khác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hoặc 40 ngày kể từ ngày nhận đủ hồ sơ (trường hợp cần kiểm tra thực tế để có đủ căn cứ giải quyết hồ sơ miễn thuế, giảm thuế), cơ quan thuế tiếp nhận hồ sơ ban hành thông báo về việc người nộp thuế thuộc hoặc không thuộc đối tượng miễn thuế theo Hiệp định thuế hoặc Điều ước quốc tế khác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hoặc 40 ngày kể từ ngày nhận đủ hồ sơ (trường hợp cần kiểm tra thực tế để có đủ căn cứ giải quyết hồ sơ miễn thuế, giảm thuế), cơ quan thuế tiếp nhận hồ sơ ban hành thông báo về việc người nộp thuế thuộc hoặc không thuộc đối tượng miễn thuế theo Hiệp định thuế hoặc Điều ước quốc tế khác.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gốc (hoặc bản sao đã được chứng thực) Giấy chứng nhận cư trú do Cơ quan thuế cấp ngay trước năm thông báo thuộc diện miễn, giảm thuế theo Hiệp định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của cơ quan đại diện Việt Nam liên quan đến các hoạt động phát sinh thu nhập đề nghị miễn thuế theo Hiệp định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ủy quyền trong trường hợp người nộp thuế uỷ quyền cho đại diện hợp pháp thực hiện thủ tục áp dụng Hiệp định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đề nghị theo mẫu số 01/HTQT ban hành kèm theo Thông tư số 80/2021/TT-BTC ngày 29/9/2021 của Bộ Tài chính (đã được sửa đổi tại Thông tư số 94/2025/TT-BTC)</w:t>
            </w:r>
          </w:p>
        </w:tc>
        <w:tc>
          <w:p/>
          <w:p>
            <w:pPr>
              <w:spacing w:after="0" w:before="0" w:lineRule="auto" w:line="276"/>
              <w:jc w:val="left"/>
            </w:pPr>
            <w:r>
              <w:rPr>
                <w:rFonts w:ascii="Times New Roman" w:hAnsi="Times New Roman" w:cs="Times New Roman" w:eastAsia="Times New Roman"/>
                <w:b w:val="false"/>
                <w:sz w:val="26"/>
              </w:rPr>
              <w:t>Mus01HTQT.docx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về việc người nộp thuế thuộc hoặc không thuộc diện được miễn thuế theo Hiệp định thuế hoặc Điều ước quốc tế khác (Mẫu số 03-1/MGTH)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80/2021/TT-BTC</w:t>
            </w:r>
          </w:p>
        </w:tc>
        <w:tc>
          <w:p/>
          <w:p>
            <w:pPr>
              <w:spacing w:after="0" w:before="0" w:lineRule="auto" w:line="276"/>
              <w:jc w:val="left"/>
            </w:pPr>
            <w:r>
              <w:rPr>
                <w:rFonts w:ascii="Times New Roman" w:hAnsi="Times New Roman" w:cs="Times New Roman" w:eastAsia="Times New Roman"/>
                <w:b w:val="false"/>
                <w:sz w:val="26"/>
              </w:rPr>
              <w:t>Thông tư 80/2021/TT-BTC</w:t>
            </w:r>
          </w:p>
        </w:tc>
        <w:tc>
          <w:p/>
          <w:p>
            <w:pPr>
              <w:spacing w:after="0" w:before="0" w:lineRule="auto" w:line="276"/>
              <w:jc w:val="left"/>
            </w:pPr>
            <w:r>
              <w:rPr>
                <w:rFonts w:ascii="Times New Roman" w:hAnsi="Times New Roman" w:cs="Times New Roman" w:eastAsia="Times New Roman"/>
                <w:b w:val="false"/>
                <w:sz w:val="26"/>
              </w:rPr>
              <w:t>29-09-2021</w:t>
            </w:r>
          </w:p>
        </w:tc>
        <w:tc>
          <w:p/>
        </w:tc>
      </w:tr>
      <w:tr>
        <w:tc>
          <w:p/>
          <w:p>
            <w:pPr>
              <w:spacing w:after="0" w:before="0" w:lineRule="auto" w:line="276"/>
              <w:jc w:val="left"/>
            </w:pPr>
            <w:r>
              <w:rPr>
                <w:rFonts w:ascii="Times New Roman" w:hAnsi="Times New Roman" w:cs="Times New Roman" w:eastAsia="Times New Roman"/>
                <w:b w:val="false"/>
                <w:sz w:val="26"/>
              </w:rPr>
              <w:t>126/2020/NĐ-CP</w:t>
            </w:r>
          </w:p>
        </w:tc>
        <w:tc>
          <w:p/>
          <w:p>
            <w:pPr>
              <w:spacing w:after="0" w:before="0" w:lineRule="auto" w:line="276"/>
              <w:jc w:val="left"/>
            </w:pPr>
            <w:r>
              <w:rPr>
                <w:rFonts w:ascii="Times New Roman" w:hAnsi="Times New Roman" w:cs="Times New Roman" w:eastAsia="Times New Roman"/>
                <w:b w:val="false"/>
                <w:sz w:val="26"/>
              </w:rPr>
              <w:t>Nghị định 126/2020/NĐ-CP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sửa đổi một số điều của Thông tư 19/2021/TT-BTC ngày 18/3/2021 của Bộ trưởng Bộ Tài chính hướng dẫn giao dịch điện tử trong lĩnh vực thuế</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91/2022/NĐ-CP</w:t>
            </w:r>
          </w:p>
        </w:tc>
        <w:tc>
          <w:p/>
          <w:p>
            <w:pPr>
              <w:spacing w:after="0" w:before="0" w:lineRule="auto" w:line="276"/>
              <w:jc w:val="left"/>
            </w:pPr>
            <w:r>
              <w:rPr>
                <w:rFonts w:ascii="Times New Roman" w:hAnsi="Times New Roman" w:cs="Times New Roman" w:eastAsia="Times New Roman"/>
                <w:b w:val="false"/>
                <w:sz w:val="26"/>
              </w:rPr>
              <w:t>Nghị định số 91/2022/NĐ-CP sửa đổi bổ sung một số điều của Nghị định số 126/2020/NĐ-CP ngày 19/10/2020 của Chính phủ quy định chi tiết một số điều của Luật Quản lý thuế</w:t>
            </w:r>
          </w:p>
        </w:tc>
        <w:tc>
          <w:p/>
          <w:p>
            <w:pPr>
              <w:spacing w:after="0" w:before="0" w:lineRule="auto" w:line="276"/>
              <w:jc w:val="left"/>
            </w:pPr>
            <w:r>
              <w:rPr>
                <w:rFonts w:ascii="Times New Roman" w:hAnsi="Times New Roman" w:cs="Times New Roman" w:eastAsia="Times New Roman"/>
                <w:b w:val="false"/>
                <w:sz w:val="26"/>
              </w:rPr>
              <w:t>30-10-2022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94/2025/TT-BTC</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80/2021/TT-BTC ngày 29 tháng 9 năm 2021 của Bộ Tài chính hướng dẫn thi hành một số điều của Luật Quản lý thuế và Nghị định số 126/2020/NĐ-CP ngày 19 tháng 10 năm 2020 của Chính phủ quy định chi tiết một số điều của Luật Quản lý thuế và sửa đổi, bổ sung một số mẫu biểu của Thông tư số 40/2021/TT-BTC ngày 01 tháng 6 năm 2021 của Bộ Tài chính hướng dẫn thuế giá trị gia tăng, thuế thu nhập cá nhân và quản lý thuế đối với hộ kinh doanh, cá nhân kinh doanh</w:t>
            </w:r>
          </w:p>
        </w:tc>
        <w:tc>
          <w:p/>
          <w:p>
            <w:pPr>
              <w:spacing w:after="0" w:before="0" w:lineRule="auto" w:line="276"/>
              <w:jc w:val="left"/>
            </w:pPr>
            <w:r>
              <w:rPr>
                <w:rFonts w:ascii="Times New Roman" w:hAnsi="Times New Roman" w:cs="Times New Roman" w:eastAsia="Times New Roman"/>
                <w:b w:val="false"/>
                <w:sz w:val="26"/>
              </w:rPr>
              <w:t>14-10-2025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đầy đủ các quy định và điều kiện thực hiện giao dịch điện tử trong lĩnh vực thuế tại Thông tư số 19/2021/TT-BTC ngày 18/3/2021 của Bộ trưởng Bộ Tài chính hướng dẫn giao dịch điện tử trong lĩnh vực thuế, Thông tư số 46/2024/TT-BTC ngày 09/7/2024 của Bộ Tài chính sửa đổi, bổ sung một số điều của thông tư số 19/2021/TT-BTC ngày 18/3/2021 của Bộ trưởng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2026-05-18T12:37:51Z</dcterms:created>
  <dc:creator>Apache POI</dc:creator>
</cp:coreProperties>
</file>