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1.008581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Miễn thuế, giảm thuế theo Hiệp định thuế đối với Nhà thầu nước ngoài nộp thuế theo phương pháp trực tiếp - đối với tái bảo hiểm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Các tổ chức nhận tái bảo hiểm nước ngoài thuộc diện được miễn thuế, giảm thuế do áp dụng Hiệp định tránh đánh thuế hai lần giữa Việt Nam và nước, vùng lãnh thổ khác chuẩn bị hồ sơ đề nghị miễn, giảm thuế theo Hiệp định thuế gửi đến Thuế tỉnh, thành phố. Các tổ chức nhận tái bảo hiểm nước ngoài trực tiếp nộp hồ sơ đề nghị áp dụng Hiệp định thuế cho từng năm cho tất cả các hợp đồng tái bảo hiểm mà các tổ chức đã ký kết hoặc dự kiến ký kết trong năm đó. Các tổ chức nhận tái bảo hiểm nước ngoài có thể uỷ quyền cho các đại lý thuế, văn phòng đại diện của công ty tại Việt Nam hoặc công ty tái bảo hiểm Việt Nam nộp hồ sơ. Khi đó, các tổ chức nhận tái bảo hiểm nước ngoài nộp cho Cơ quan thuế 02 (hai) hồ sơ đề nghị gồm: hồ sơ đề nghị dự kiến và hồ sơ đề nghị chính thức. Các tổ chức nhận tái bảo hiểm nước ngoài có văn phòng đại diện tại Việt Nam nộp hồ sơ tại Thuế tỉnh, thành phố nơi đóng văn phòng đại diện. Đối với các tổ chức nhận tái bảo hiểm nước ngoài không có văn phòng đại diện tại Việt Nam: 
++ Trường hợp các tổ chức nhận tái bảo hiểm nước ngoài trực tiếp nộp hồ sơ thì nộp tại Thuế tỉnh, thành phố nơi Công ty tái bảo hiểm Việt Nam đầu tiên dự kiến ký kết hợp đồng;
 ++ Trường hợp các tổ chức nhận tái bảo hiểm nước ngoài uỷ quyền cho đại diện hợp pháp tại Việt Nam (Đại lý thuế, Công ty kiểm toán hoặc Công ty tái bảo hiểm Việt Nam đầu tiên dự kiến ký kết hợp đồng...) nộp hồ sơ: Nộp tại Thuế tỉnh, thành phố nơi đại điện hợp pháp đăng ký nộp thuế. Thời điểm nộp hồ sơ: (i) Đối với hồ sơ đề nghị dự kiến: 05 (năm) ngày trước khi ký kết Hợp đồng; hoặc 05 (năm) ngày sau khi thực hiện Hợp đồng; hoặc 05 (năm) ngày trước khi thanh toán. (ii) Đối với hồ sơ đề nghị chính thức: Trong vòng quý I của năm sau, tổ chức nhận tái bảo hiểm nước ngoài có trách nhiệm nộp cho cơ quan thuế hồ sơ đề nghị chính thức cùng với tài liệu liên quan.</w:t>
      </w:r>
    </w:p>
    <w:p>
      <w:pPr>
        <w:spacing w:after="0" w:before="0" w:lineRule="auto" w:line="276"/>
        <w:jc w:val="both"/>
      </w:pPr>
      <w:r>
        <w:rPr>
          <w:rFonts w:ascii="Times New Roman" w:hAnsi="Times New Roman" w:cs="Times New Roman" w:eastAsia="Times New Roman"/>
          <w:b w:val="false"/>
          <w:sz w:val="26"/>
        </w:rPr>
        <w:t>+ Bước 2. Cơ quan thuế tiếp nhận: 
++ Trường hợp hồ sơ được nộp trực tiếp tại cơ quan thuế hoặc hồ sơ được gửi qua đường bưu chính: cơ quan thuế thực hiện tiếp nhận và giải quyết hồ sơ và trả kết quả theo quy định. 
++ Trường hợp hồ sơ được nộp đến cơ quan thuế thông qua giao dịch điện tử, việc tiếp nhận, kiểm tra, chấp nhận, giải quyết hồ sơ thông qua hệ thống xử lý dữ liệu điện tử của cơ quan thuế. 
++ Trong quá trình giải quyết hồ sơ miễn thuế, giảm thuế còn thiếu thông tin cần giải trình, bổ sung tài liệu thì cơ quan thuế gửi Thông báo giải trình, bổ sung thông tin, tài liệu theo mẫu số 01/TB-BSTT-NNT ban hành kèm theo Nghị định số 126/2020/NĐ-CP cho người nộp thuế để yêu cầu giải trình, bổ sung thông tin, tài liệu.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Trực tiếp: Tại TTPVHCC cấp tỉnh, xã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40 ngày kể từ ngày nhận đủ hồ sơ (trường hợp cần kiểm tra thực tế để có đủ căn cứ giải quyết hồ sơ miễn thuế, giảm thuế), cơ quan thuế tiếp nhận hồ sơ ban hành thông báo về việc người nộp thuế thuộc hoặc không thuộc đối tượng miễn thuế theo Hiệp định thuế hoặc Điều ước quốc tế khác.
Trực tiếp: Tại TTPVHCC cấp tỉnh,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Trực tuyến: qua Cổng DVC Quốc gia đối với các TTHC đã toàn trình và được tích hợp, kết nối với Cổng dịch vụ công của Bộ Tài chính theo quy định về thực hiện cơ chế một cửa, một cửa liên thông trong giải quyết thủ tục hành chính/ các Hệ thống thông tin điện tử, hệ thống thông tin giải quyết TTHC của Cục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40 ngày kể từ ngày nhận đủ hồ sơ (trường hợp cần kiểm tra thực tế để có đủ căn cứ giải quyết hồ sơ miễn thuế, giảm thuế), cơ quan thuế tiếp nhận hồ sơ ban hành thông báo về việc người nộp thuế thuộc hoặc không thuộc đối tượng miễn thuế theo Hiệp định thuế hoặc Điều ước quốc tế khác.
Trực tuyến: qua Cổng DVC Quốc gia đối với các TTHC đã toàn trình và được tích hợp, kết nối với Cổng dịch vụ công của Bộ Tài chính theo quy định về thực hiện cơ chế một cửa, một cửa liên thông trong giải quyết thủ tục hành chính/ các Hệ thống thông tin điện tử, hệ thống thông tin giải quyết TTHC của Cục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Thông qua dịch vụ bưu chính công ích theo quy định của Thủ tướng Chính phủ, qua thuê dịch vụ của doanh nghiệp, cá nhân hoặc qua ủy quyền theo quy định của pháp luật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40 ngày kể từ ngày nhận đủ hồ sơ (trường hợp cần kiểm tra thực tế để có đủ căn cứ giải quyết hồ sơ miễn thuế, giảm thuế), cơ quan thuế tiếp nhận hồ sơ ban hành thông báo về việc người nộp thuế thuộc hoặc không thuộc đối tượng miễn thuế theo Hiệp định thuế hoặc Điều ước quốc tế khác.
Thông qua dịch vụ bưu chính công ích theo quy định của Thủ tướng Chính phủ, qua thuê dịch vụ của doanh nghiệp, cá nhân hoặc qua ủy quyền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Hồ sơ đề nghị chính thức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gốc (hoặc bản sao đã được chứng thực) Giấy chứng nhận cư trú do cơ quan thuế của nước cư trú cấp đã được hợp pháp hoá lãnh sự trong năm tính thuế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Hợp đồng tái bảo hiểm đã thực hiện trong năm có xác nhận của người nộp thuế (bao gồm cả những hợp đồng đã có trong kế hoạch và những hợp đồng ngoài kế hoạch đã gửi cơ quan thuế) nhưng chưa nộp cho cơ quan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mục hợp đồng theo từng loại theo mẫu số 02-1/TBH-TB ban hành kèm theo Thông tư. Tại thời điểm nộp hồ sơ đề nghị chính thức, người nộp thuế sẽ phân loại hợp đồng và gửi danh mục hợp đồng theo từng loại (với các chỉ tiêu nhất định); mỗi loại hợp đồng chỉ gửi một bản sao có xác nhận của người nộp thuế để làm mẫu. Người nộp thuế phải chịu trách nhiệm về việc thống kê này</w:t>
            </w:r>
          </w:p>
        </w:tc>
        <w:tc>
          <w:p/>
          <w:p>
            <w:pPr>
              <w:spacing w:after="0" w:before="0" w:lineRule="auto" w:line="276"/>
              <w:jc w:val="left"/>
            </w:pPr>
            <w:r>
              <w:rPr>
                <w:rFonts w:ascii="Times New Roman" w:hAnsi="Times New Roman" w:cs="Times New Roman" w:eastAsia="Times New Roman"/>
                <w:b w:val="false"/>
                <w:sz w:val="26"/>
              </w:rPr>
              <w:t>Mu02-1TBH-TB.docx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uỷ quyền trong trường hợp người nộp thuế uỷ quyền cho đại diện hợp pháp thực hiện thủ tục áp dụng Hiệp định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chính thức theo mẫu số 02/TBH-TB ban hành kèm theo Thông tư số 80/2021/TT-BTC ngày 29/9/2021 của Bộ Tài chính (đã được sửa đổi tại Thông tư số 94/2025/TT-BTC)</w:t>
            </w:r>
          </w:p>
        </w:tc>
        <w:tc>
          <w:p/>
          <w:p>
            <w:pPr>
              <w:spacing w:after="0" w:before="0" w:lineRule="auto" w:line="276"/>
              <w:jc w:val="left"/>
            </w:pPr>
            <w:r>
              <w:rPr>
                <w:rFonts w:ascii="Times New Roman" w:hAnsi="Times New Roman" w:cs="Times New Roman" w:eastAsia="Times New Roman"/>
                <w:b w:val="false"/>
                <w:sz w:val="26"/>
              </w:rPr>
              <w:t>Mu02TBH-TB.docx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Hồ sơ đề nghị dự kiến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gốc (hoặc bản sao đã được chứng thực) Giấy chứng nhận cư trú do cơ quan thuế của nước cư trú cấp đã được hợp pháp hoá lãnh sự (cho năm ngay trước năm nộp hồ sơ đề nghị dự kiến);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các Hợp đồng tái bảo hiểm đã hoặc dự kiến ký kết theo mẫu số 01-1/TBH-TB ban hành kèm theo Thông tư;</w:t>
            </w:r>
          </w:p>
        </w:tc>
        <w:tc>
          <w:p/>
          <w:p>
            <w:pPr>
              <w:spacing w:after="0" w:before="0" w:lineRule="auto" w:line="276"/>
              <w:jc w:val="left"/>
            </w:pPr>
            <w:r>
              <w:rPr>
                <w:rFonts w:ascii="Times New Roman" w:hAnsi="Times New Roman" w:cs="Times New Roman" w:eastAsia="Times New Roman"/>
                <w:b w:val="false"/>
                <w:sz w:val="26"/>
              </w:rPr>
              <w:t>Mẫu 01.1.TBH.TB.doc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uỷ quyền trong trường hợp người nộp thuế uỷ quyền cho đại diện hợp pháp thực hiện thủ tục áp dụng Hiệp định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dự kiến theo mẫu số 01/TBH-TB ban hành kèm theo Thông tư số 80/2021/TT-BTC ngày 29/9/2021 của Bộ Tài chính (đã được sửa đổi tại Thông tư số 94/2025/TT-BTC)</w:t>
            </w:r>
          </w:p>
        </w:tc>
        <w:tc>
          <w:p/>
          <w:p>
            <w:pPr>
              <w:spacing w:after="0" w:before="0" w:lineRule="auto" w:line="276"/>
              <w:jc w:val="left"/>
            </w:pPr>
            <w:r>
              <w:rPr>
                <w:rFonts w:ascii="Times New Roman" w:hAnsi="Times New Roman" w:cs="Times New Roman" w:eastAsia="Times New Roman"/>
                <w:b w:val="false"/>
                <w:sz w:val="26"/>
              </w:rPr>
              <w:t>Mu01TBH-TB.docx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tỉnh,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người nộp thuế thuộc hoặc không thuộc diện được miễn thuế theo Hiệp định thuế hoặc Điều ước quốc tế khác (Mẫu số 03-1/MGTH)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số 56/2024/QH15 của Quốc hội: 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94/2025/TT-BTC</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80/2021/TT-BTC ngày 29 tháng 9 năm 2021 của Bộ Tài chính hướng dẫn thi hành một số điều của Luật Quản lý thuế và Nghị định số 126/2020/NĐ-CP ngày 19 tháng 10 năm 2020 của Chính phủ quy định chi tiết một số điều của Luật Quản lý thuế và sửa đổi, bổ sung một số mẫu biểu của Thông tư số 40/2021/TT-BTC ngày 01 tháng 6 năm 2021 của Bộ Tài chính hướng dẫn thuế giá trị gia tăng, thuế thu nhập cá nhân và quản lý thuế đối với hộ kinh doanh, cá nhân kinh doanh</w:t>
            </w:r>
          </w:p>
        </w:tc>
        <w:tc>
          <w:p/>
          <w:p>
            <w:pPr>
              <w:spacing w:after="0" w:before="0" w:lineRule="auto" w:line="276"/>
              <w:jc w:val="left"/>
            </w:pPr>
            <w:r>
              <w:rPr>
                <w:rFonts w:ascii="Times New Roman" w:hAnsi="Times New Roman" w:cs="Times New Roman" w:eastAsia="Times New Roman"/>
                <w:b w:val="false"/>
                <w:sz w:val="26"/>
              </w:rPr>
              <w:t>14-10-2025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hướng dẫn giao dịch điện tử trong lĩnh vực thuế, Thông tư số 46/2024/TT-BTC ngày 09/7/2024 của Bộ Tài chính sửa đổi, bổ sung một số điều của thông tư số 19/2021/TT-BTC ngày 18/3/2021 của Bộ trưởng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2026-05-28T18:45:05Z</dcterms:created>
  <dc:creator>Apache POI</dc:creator>
</cp:coreProperties>
</file>